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3BFCC" w14:textId="77777777" w:rsidR="00204990" w:rsidRPr="00530C7F" w:rsidRDefault="00530C7F" w:rsidP="00266A4B">
      <w:pPr>
        <w:pStyle w:val="Title"/>
        <w:rPr>
          <w:sz w:val="40"/>
          <w:szCs w:val="40"/>
        </w:rPr>
      </w:pPr>
      <w:bookmarkStart w:id="0" w:name="_Hlk525410645"/>
      <w:bookmarkStart w:id="1" w:name="_GoBack"/>
      <w:bookmarkEnd w:id="1"/>
      <w:r w:rsidRPr="00530C7F">
        <w:rPr>
          <w:sz w:val="40"/>
          <w:szCs w:val="40"/>
        </w:rPr>
        <w:t xml:space="preserve">Licensing authorities’ </w:t>
      </w:r>
      <w:r>
        <w:rPr>
          <w:sz w:val="40"/>
          <w:szCs w:val="40"/>
        </w:rPr>
        <w:t>approach to</w:t>
      </w:r>
      <w:r w:rsidR="00422E66" w:rsidRPr="00530C7F">
        <w:rPr>
          <w:sz w:val="40"/>
          <w:szCs w:val="40"/>
        </w:rPr>
        <w:t xml:space="preserve"> the </w:t>
      </w:r>
      <w:r w:rsidRPr="00530C7F">
        <w:rPr>
          <w:sz w:val="40"/>
          <w:szCs w:val="40"/>
        </w:rPr>
        <w:t xml:space="preserve">Equality Act 2010 </w:t>
      </w:r>
      <w:r w:rsidR="0027178F">
        <w:rPr>
          <w:sz w:val="40"/>
          <w:szCs w:val="40"/>
        </w:rPr>
        <w:t xml:space="preserve">provisions on </w:t>
      </w:r>
      <w:r w:rsidR="00422E66" w:rsidRPr="00530C7F">
        <w:rPr>
          <w:sz w:val="40"/>
          <w:szCs w:val="40"/>
        </w:rPr>
        <w:t xml:space="preserve">taxi </w:t>
      </w:r>
      <w:r w:rsidR="00FD162D" w:rsidRPr="00530C7F">
        <w:rPr>
          <w:sz w:val="40"/>
          <w:szCs w:val="40"/>
        </w:rPr>
        <w:t xml:space="preserve">wheelchair </w:t>
      </w:r>
      <w:r w:rsidR="00422E66" w:rsidRPr="00530C7F">
        <w:rPr>
          <w:sz w:val="40"/>
          <w:szCs w:val="40"/>
        </w:rPr>
        <w:t>discrimination</w:t>
      </w:r>
      <w:bookmarkEnd w:id="0"/>
    </w:p>
    <w:p w14:paraId="2131C8F5" w14:textId="7684B53A" w:rsidR="00B823AA" w:rsidRDefault="00D51483" w:rsidP="0027178F">
      <w:pPr>
        <w:spacing w:before="240"/>
        <w:jc w:val="center"/>
        <w:rPr>
          <w:b/>
        </w:rPr>
      </w:pPr>
      <w:r w:rsidRPr="00204990">
        <w:t xml:space="preserve">Doug Paulley, </w:t>
      </w:r>
      <w:r w:rsidR="00C25EEE">
        <w:t>September 2018</w:t>
      </w:r>
    </w:p>
    <w:p w14:paraId="0DF71C4C" w14:textId="719EB221" w:rsidR="00297E88" w:rsidRDefault="00D51483" w:rsidP="00B823AA">
      <w:pPr>
        <w:pStyle w:val="Title2"/>
        <w:rPr>
          <w:b/>
        </w:rPr>
      </w:pPr>
      <w:r>
        <w:rPr>
          <w:b/>
        </w:rPr>
        <w:t>https://www.kingqueen.org.uk</w:t>
      </w:r>
      <w:r w:rsidR="004C1E40">
        <w:rPr>
          <w:b/>
        </w:rPr>
        <w:t>/s167</w:t>
      </w:r>
    </w:p>
    <w:p w14:paraId="5C05596A" w14:textId="2C73AEC5" w:rsidR="00D51483" w:rsidRDefault="009758D7" w:rsidP="00530C7F">
      <w:pPr>
        <w:pStyle w:val="Title2"/>
        <w:rPr>
          <w:b/>
        </w:rPr>
      </w:pPr>
      <w:r>
        <w:rPr>
          <w:noProof/>
        </w:rPr>
        <w:drawing>
          <wp:inline distT="0" distB="0" distL="0" distR="0" wp14:anchorId="412E32F1" wp14:editId="697D8ADC">
            <wp:extent cx="5172603" cy="7324725"/>
            <wp:effectExtent l="114300" t="114300" r="219075" b="200025"/>
            <wp:docPr id="24" name="Picture 14" descr="Map of the UK, entitled &quot;Taxi licensing bodies' implementation of S167 Equality Act&quot;. The majority of the UK is Red,&#10; indicating &quot;S167 list not in place&quot;. ">
              <a:extLst xmlns:a="http://schemas.openxmlformats.org/drawingml/2006/main">
                <a:ext uri="{FF2B5EF4-FFF2-40B4-BE49-F238E27FC236}">
                  <a16:creationId xmlns:a16="http://schemas.microsoft.com/office/drawing/2014/main" id="{CFBA5055-650C-497D-81FB-B5FE616E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FBA5055-650C-497D-81FB-B5FE616E0EF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675" cy="7375805"/>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5AF60FDA" w14:textId="77777777" w:rsidR="005E54DF" w:rsidRDefault="005E54DF">
      <w:pPr>
        <w:spacing w:after="0" w:line="240" w:lineRule="auto"/>
        <w:jc w:val="left"/>
        <w:sectPr w:rsidR="005E54DF" w:rsidSect="00C6428D">
          <w:headerReference w:type="default" r:id="rId10"/>
          <w:footerReference w:type="default" r:id="rId11"/>
          <w:footerReference w:type="first" r:id="rId12"/>
          <w:footnotePr>
            <w:pos w:val="beneathText"/>
          </w:footnotePr>
          <w:pgSz w:w="11907" w:h="16840" w:code="9"/>
          <w:pgMar w:top="1440" w:right="1440" w:bottom="426" w:left="1440" w:header="720" w:footer="720" w:gutter="0"/>
          <w:cols w:space="720"/>
          <w:noEndnote/>
          <w:titlePg/>
          <w:docGrid w:linePitch="360"/>
        </w:sectPr>
      </w:pPr>
      <w:bookmarkStart w:id="2" w:name="_Toc488088746"/>
      <w:bookmarkStart w:id="3" w:name="_Toc488093134"/>
    </w:p>
    <w:p w14:paraId="54440E20" w14:textId="4C026C43" w:rsidR="00D51483" w:rsidRDefault="00D51483" w:rsidP="00F84034">
      <w:pPr>
        <w:pStyle w:val="Heading1"/>
      </w:pPr>
      <w:bookmarkStart w:id="4" w:name="_Toc525413968"/>
      <w:r>
        <w:lastRenderedPageBreak/>
        <w:t>Abstract</w:t>
      </w:r>
      <w:bookmarkEnd w:id="2"/>
      <w:bookmarkEnd w:id="3"/>
      <w:bookmarkEnd w:id="4"/>
    </w:p>
    <w:p w14:paraId="436D4AD8" w14:textId="00598EA9" w:rsidR="00453B75" w:rsidRDefault="00453B75" w:rsidP="00453B75">
      <w:bookmarkStart w:id="5" w:name="_Toc488088747"/>
      <w:bookmarkStart w:id="6" w:name="_Toc488093135"/>
      <w:r>
        <w:t xml:space="preserve">Section 165 of the Equality Act 2010 makes it illegal for taxi drivers to discriminate against wheelchair users. It was commenced in April 2017 but only takes effect in areas in which the taxi licensing authority has created a “designated list” of accessible vehicles under S167 of the Act. The Department for Transport’s statutory guidance </w:t>
      </w:r>
      <w:r w:rsidR="00664069">
        <w:t>recommended</w:t>
      </w:r>
      <w:r>
        <w:t xml:space="preserve"> authorities construct a list, and that authorities should be able to produce these lists by 6th October 2017. </w:t>
      </w:r>
    </w:p>
    <w:p w14:paraId="52DD28FE" w14:textId="1088F363" w:rsidR="00453B75" w:rsidRDefault="00C91E1D" w:rsidP="00453B75">
      <w:r>
        <w:t>A year after the legislation was commenced, o</w:t>
      </w:r>
      <w:r w:rsidR="00453B75">
        <w:t xml:space="preserve">nly </w:t>
      </w:r>
      <w:r>
        <w:t>48%</w:t>
      </w:r>
      <w:r w:rsidR="00453B75">
        <w:t xml:space="preserve"> of authorities have created a list. Many of those that have created lists have failed to follow the statutory guidance, bringing enforceability into question. </w:t>
      </w:r>
      <w:r>
        <w:t xml:space="preserve">There have been three successful prosecutions of taxi drivers </w:t>
      </w:r>
      <w:r w:rsidR="00453B75">
        <w:t xml:space="preserve">for discriminatory treatment contrary to Section 165. </w:t>
      </w:r>
      <w:r>
        <w:t xml:space="preserve">This is a miniscule proportion of </w:t>
      </w:r>
      <w:r w:rsidR="00A21688" w:rsidRPr="00D60FCE">
        <w:t xml:space="preserve">the total number of </w:t>
      </w:r>
      <w:r w:rsidRPr="00D60FCE">
        <w:t>offences</w:t>
      </w:r>
      <w:r>
        <w:t>.</w:t>
      </w:r>
    </w:p>
    <w:p w14:paraId="2EAF2828" w14:textId="50BB7536" w:rsidR="00C91E1D" w:rsidRDefault="00C91E1D" w:rsidP="00453B75">
      <w:r>
        <w:t>Licensing bodie</w:t>
      </w:r>
      <w:r w:rsidR="00453B75">
        <w:t xml:space="preserve">s’ failure to consistently implement and enforce this legislation </w:t>
      </w:r>
      <w:r w:rsidR="00664069">
        <w:t>forms</w:t>
      </w:r>
      <w:r w:rsidR="00453B75">
        <w:t xml:space="preserve"> a </w:t>
      </w:r>
      <w:r w:rsidR="00664069">
        <w:t>large</w:t>
      </w:r>
      <w:r w:rsidR="00453B75">
        <w:t xml:space="preserve"> barrier to disabled people’s transport rights and undermines the intent behind these provisions of the Act.</w:t>
      </w:r>
    </w:p>
    <w:p w14:paraId="17986657" w14:textId="74EC1C8F" w:rsidR="00637429" w:rsidRDefault="00C91E1D" w:rsidP="00453B75">
      <w:r>
        <w:t>All licensing bodies have failed to comply with the Department for Transport’s statutory guidance</w:t>
      </w:r>
      <w:r w:rsidR="00664069">
        <w:t xml:space="preserve"> issued under Section 167; most to a significant degree.</w:t>
      </w:r>
    </w:p>
    <w:p w14:paraId="21108493" w14:textId="5A53AF2C" w:rsidR="00637429" w:rsidRDefault="00637429" w:rsidP="00A75E60">
      <w:pPr>
        <w:jc w:val="left"/>
      </w:pPr>
    </w:p>
    <w:p w14:paraId="341C9F0F" w14:textId="77777777" w:rsidR="00D93BC7" w:rsidRDefault="00637429" w:rsidP="00A75E60">
      <w:pPr>
        <w:jc w:val="left"/>
        <w:rPr>
          <w:rFonts w:ascii="Arial Black" w:hAnsi="Arial Black"/>
          <w:b/>
          <w:sz w:val="44"/>
          <w:szCs w:val="44"/>
        </w:rPr>
      </w:pPr>
      <w:r w:rsidRPr="00D93BC7">
        <w:rPr>
          <w:rFonts w:ascii="Arial Black" w:hAnsi="Arial Black"/>
          <w:b/>
          <w:sz w:val="44"/>
          <w:szCs w:val="44"/>
        </w:rPr>
        <w:t>If you need this document providing in an alternative accessible format, please contact me. I can be contacted via</w:t>
      </w:r>
      <w:r w:rsidR="00D93BC7">
        <w:rPr>
          <w:rFonts w:ascii="Arial Black" w:hAnsi="Arial Black"/>
          <w:b/>
          <w:sz w:val="44"/>
          <w:szCs w:val="44"/>
        </w:rPr>
        <w:t>:</w:t>
      </w:r>
      <w:r w:rsidRPr="00D93BC7">
        <w:rPr>
          <w:rFonts w:ascii="Arial Black" w:hAnsi="Arial Black"/>
          <w:b/>
          <w:sz w:val="44"/>
          <w:szCs w:val="44"/>
        </w:rPr>
        <w:t xml:space="preserve"> </w:t>
      </w:r>
    </w:p>
    <w:p w14:paraId="20377AB0" w14:textId="5F7143F2" w:rsidR="00D93BC7" w:rsidRDefault="00A75E60" w:rsidP="00D93BC7">
      <w:pPr>
        <w:pStyle w:val="ListParagraph"/>
        <w:numPr>
          <w:ilvl w:val="0"/>
          <w:numId w:val="39"/>
        </w:numPr>
        <w:rPr>
          <w:rFonts w:ascii="Arial Black" w:hAnsi="Arial Black"/>
          <w:b/>
          <w:sz w:val="36"/>
          <w:szCs w:val="36"/>
        </w:rPr>
      </w:pPr>
      <w:r>
        <w:rPr>
          <w:rFonts w:ascii="Arial Black" w:hAnsi="Arial Black"/>
          <w:b/>
          <w:sz w:val="36"/>
          <w:szCs w:val="36"/>
        </w:rPr>
        <w:t xml:space="preserve">My </w:t>
      </w:r>
      <w:hyperlink r:id="rId13" w:tooltip="Contact page on Doug Paulley's website" w:history="1">
        <w:r w:rsidR="00637429" w:rsidRPr="00D93BC7">
          <w:rPr>
            <w:rStyle w:val="Hyperlink"/>
            <w:rFonts w:ascii="Arial Black" w:hAnsi="Arial Black"/>
            <w:b/>
            <w:sz w:val="36"/>
            <w:szCs w:val="36"/>
          </w:rPr>
          <w:t>website</w:t>
        </w:r>
      </w:hyperlink>
    </w:p>
    <w:p w14:paraId="6EE4F887" w14:textId="34BA76C6" w:rsidR="00D93BC7" w:rsidRPr="00D93BC7" w:rsidRDefault="00EC5565" w:rsidP="00D93BC7">
      <w:pPr>
        <w:pStyle w:val="ListParagraph"/>
        <w:rPr>
          <w:rFonts w:ascii="Arial Black" w:hAnsi="Arial Black"/>
          <w:b/>
          <w:sz w:val="36"/>
          <w:szCs w:val="36"/>
        </w:rPr>
      </w:pPr>
      <w:hyperlink r:id="rId14" w:tooltip="Contact page on Doug Paulley's website" w:history="1">
        <w:r w:rsidR="00637429" w:rsidRPr="00D93BC7">
          <w:rPr>
            <w:rStyle w:val="Hyperlink"/>
            <w:rFonts w:ascii="Arial Black" w:hAnsi="Arial Black"/>
            <w:b/>
            <w:sz w:val="36"/>
            <w:szCs w:val="36"/>
          </w:rPr>
          <w:t>https://www.kingqueen.org.uk/contact</w:t>
        </w:r>
      </w:hyperlink>
      <w:r w:rsidR="00637429" w:rsidRPr="00D93BC7">
        <w:rPr>
          <w:rFonts w:ascii="Arial Black" w:hAnsi="Arial Black"/>
          <w:b/>
          <w:sz w:val="36"/>
          <w:szCs w:val="36"/>
        </w:rPr>
        <w:t xml:space="preserve"> </w:t>
      </w:r>
    </w:p>
    <w:p w14:paraId="22E2E889" w14:textId="480ACB6B" w:rsidR="00D93BC7" w:rsidRDefault="00A75E60" w:rsidP="00D93BC7">
      <w:pPr>
        <w:pStyle w:val="ListParagraph"/>
        <w:numPr>
          <w:ilvl w:val="0"/>
          <w:numId w:val="39"/>
        </w:numPr>
        <w:rPr>
          <w:rFonts w:ascii="Arial Black" w:hAnsi="Arial Black"/>
          <w:b/>
          <w:sz w:val="36"/>
          <w:szCs w:val="36"/>
        </w:rPr>
      </w:pPr>
      <w:r>
        <w:rPr>
          <w:rFonts w:ascii="Arial Black" w:hAnsi="Arial Black"/>
          <w:b/>
          <w:sz w:val="36"/>
          <w:szCs w:val="36"/>
        </w:rPr>
        <w:t>M</w:t>
      </w:r>
      <w:r w:rsidR="00637429" w:rsidRPr="00D93BC7">
        <w:rPr>
          <w:rFonts w:ascii="Arial Black" w:hAnsi="Arial Black"/>
          <w:b/>
          <w:sz w:val="36"/>
          <w:szCs w:val="36"/>
        </w:rPr>
        <w:t xml:space="preserve">y </w:t>
      </w:r>
      <w:hyperlink r:id="rId15" w:tooltip="Doug Paulley's email address" w:history="1">
        <w:r w:rsidR="00637429" w:rsidRPr="00D93BC7">
          <w:rPr>
            <w:rStyle w:val="Hyperlink"/>
            <w:rFonts w:ascii="Arial Black" w:hAnsi="Arial Black"/>
            <w:b/>
            <w:sz w:val="36"/>
            <w:szCs w:val="36"/>
          </w:rPr>
          <w:t>email address</w:t>
        </w:r>
      </w:hyperlink>
      <w:r w:rsidR="00637429" w:rsidRPr="00D93BC7">
        <w:rPr>
          <w:rFonts w:ascii="Arial Black" w:hAnsi="Arial Black"/>
          <w:b/>
          <w:sz w:val="36"/>
          <w:szCs w:val="36"/>
        </w:rPr>
        <w:t xml:space="preserve"> </w:t>
      </w:r>
    </w:p>
    <w:p w14:paraId="318FE883" w14:textId="41928B13" w:rsidR="00D93BC7" w:rsidRPr="00D93BC7" w:rsidRDefault="00EC5565" w:rsidP="00D93BC7">
      <w:pPr>
        <w:pStyle w:val="ListParagraph"/>
        <w:rPr>
          <w:rFonts w:ascii="Arial Black" w:hAnsi="Arial Black"/>
          <w:b/>
          <w:sz w:val="36"/>
          <w:szCs w:val="36"/>
        </w:rPr>
      </w:pPr>
      <w:hyperlink r:id="rId16" w:history="1">
        <w:r w:rsidR="00D93BC7" w:rsidRPr="00997DF9">
          <w:rPr>
            <w:rStyle w:val="Hyperlink"/>
            <w:rFonts w:ascii="Arial Black" w:hAnsi="Arial Black"/>
            <w:b/>
            <w:sz w:val="36"/>
            <w:szCs w:val="36"/>
          </w:rPr>
          <w:t>doug.paulley@kingqueen.org.uk</w:t>
        </w:r>
      </w:hyperlink>
    </w:p>
    <w:p w14:paraId="577419CD" w14:textId="6DF3433F" w:rsidR="00637429" w:rsidRPr="00D93BC7" w:rsidRDefault="00EC5565" w:rsidP="00D93BC7">
      <w:pPr>
        <w:pStyle w:val="ListParagraph"/>
        <w:numPr>
          <w:ilvl w:val="0"/>
          <w:numId w:val="39"/>
        </w:numPr>
        <w:rPr>
          <w:rFonts w:ascii="Arial Black" w:hAnsi="Arial Black"/>
          <w:b/>
          <w:sz w:val="36"/>
          <w:szCs w:val="36"/>
        </w:rPr>
      </w:pPr>
      <w:hyperlink r:id="rId17" w:history="1">
        <w:r w:rsidR="00637429" w:rsidRPr="00D93BC7">
          <w:rPr>
            <w:rStyle w:val="Hyperlink"/>
            <w:rFonts w:ascii="Arial Black" w:hAnsi="Arial Black"/>
            <w:b/>
            <w:sz w:val="36"/>
            <w:szCs w:val="36"/>
          </w:rPr>
          <w:t>Twitter</w:t>
        </w:r>
        <w:r w:rsidR="00D93BC7" w:rsidRPr="00D93BC7">
          <w:rPr>
            <w:rStyle w:val="Hyperlink"/>
            <w:rFonts w:ascii="Arial Black" w:hAnsi="Arial Black"/>
            <w:b/>
            <w:sz w:val="36"/>
            <w:szCs w:val="36"/>
          </w:rPr>
          <w:t xml:space="preserve"> (username kingqueen3065)</w:t>
        </w:r>
      </w:hyperlink>
    </w:p>
    <w:sdt>
      <w:sdtPr>
        <w:rPr>
          <w:b w:val="0"/>
          <w:bCs w:val="0"/>
          <w:caps w:val="0"/>
          <w:spacing w:val="0"/>
          <w:sz w:val="24"/>
          <w:szCs w:val="22"/>
        </w:rPr>
        <w:id w:val="93602195"/>
        <w:docPartObj>
          <w:docPartGallery w:val="Table of Contents"/>
          <w:docPartUnique/>
        </w:docPartObj>
      </w:sdtPr>
      <w:sdtEndPr>
        <w:rPr>
          <w:noProof/>
        </w:rPr>
      </w:sdtEndPr>
      <w:sdtContent>
        <w:p w14:paraId="4DCBB2A4" w14:textId="6B825A2C" w:rsidR="002D0EE3" w:rsidRDefault="002D0EE3">
          <w:pPr>
            <w:pStyle w:val="TOCHeading"/>
          </w:pPr>
          <w:r>
            <w:t>Contents</w:t>
          </w:r>
        </w:p>
        <w:p w14:paraId="35EDE810" w14:textId="3E5BC711" w:rsidR="009B0A88" w:rsidRDefault="002D0EE3">
          <w:pPr>
            <w:pStyle w:val="TOC1"/>
            <w:rPr>
              <w:rFonts w:asciiTheme="minorHAnsi" w:eastAsiaTheme="minorEastAsia" w:hAnsiTheme="minorHAnsi" w:cstheme="minorBidi"/>
              <w:noProof/>
              <w:sz w:val="22"/>
              <w:lang w:eastAsia="en-GB"/>
            </w:rPr>
          </w:pPr>
          <w:r>
            <w:fldChar w:fldCharType="begin"/>
          </w:r>
          <w:r>
            <w:instrText xml:space="preserve"> TOC \o "1-3" \h \z \u </w:instrText>
          </w:r>
          <w:r>
            <w:fldChar w:fldCharType="separate"/>
          </w:r>
          <w:hyperlink w:anchor="_Toc525413968" w:history="1">
            <w:r w:rsidR="009B0A88" w:rsidRPr="00FD31CD">
              <w:rPr>
                <w:rStyle w:val="Hyperlink"/>
                <w:noProof/>
              </w:rPr>
              <w:t>1.</w:t>
            </w:r>
            <w:r w:rsidR="009B0A88">
              <w:rPr>
                <w:rFonts w:asciiTheme="minorHAnsi" w:eastAsiaTheme="minorEastAsia" w:hAnsiTheme="minorHAnsi" w:cstheme="minorBidi"/>
                <w:noProof/>
                <w:sz w:val="22"/>
                <w:lang w:eastAsia="en-GB"/>
              </w:rPr>
              <w:tab/>
            </w:r>
            <w:r w:rsidR="009B0A88" w:rsidRPr="00FD31CD">
              <w:rPr>
                <w:rStyle w:val="Hyperlink"/>
                <w:noProof/>
              </w:rPr>
              <w:t>Abstract</w:t>
            </w:r>
            <w:r w:rsidR="009B0A88">
              <w:rPr>
                <w:noProof/>
                <w:webHidden/>
              </w:rPr>
              <w:tab/>
            </w:r>
            <w:r w:rsidR="009B0A88">
              <w:rPr>
                <w:noProof/>
                <w:webHidden/>
              </w:rPr>
              <w:fldChar w:fldCharType="begin"/>
            </w:r>
            <w:r w:rsidR="009B0A88">
              <w:rPr>
                <w:noProof/>
                <w:webHidden/>
              </w:rPr>
              <w:instrText xml:space="preserve"> PAGEREF _Toc525413968 \h </w:instrText>
            </w:r>
            <w:r w:rsidR="009B0A88">
              <w:rPr>
                <w:noProof/>
                <w:webHidden/>
              </w:rPr>
            </w:r>
            <w:r w:rsidR="009B0A88">
              <w:rPr>
                <w:noProof/>
                <w:webHidden/>
              </w:rPr>
              <w:fldChar w:fldCharType="separate"/>
            </w:r>
            <w:r w:rsidR="00247F48">
              <w:rPr>
                <w:noProof/>
                <w:webHidden/>
              </w:rPr>
              <w:t>1</w:t>
            </w:r>
            <w:r w:rsidR="009B0A88">
              <w:rPr>
                <w:noProof/>
                <w:webHidden/>
              </w:rPr>
              <w:fldChar w:fldCharType="end"/>
            </w:r>
          </w:hyperlink>
        </w:p>
        <w:p w14:paraId="02EC6DA8" w14:textId="682B8A7D" w:rsidR="009B0A88" w:rsidRDefault="00EC5565">
          <w:pPr>
            <w:pStyle w:val="TOC1"/>
            <w:rPr>
              <w:rFonts w:asciiTheme="minorHAnsi" w:eastAsiaTheme="minorEastAsia" w:hAnsiTheme="minorHAnsi" w:cstheme="minorBidi"/>
              <w:noProof/>
              <w:sz w:val="22"/>
              <w:lang w:eastAsia="en-GB"/>
            </w:rPr>
          </w:pPr>
          <w:hyperlink w:anchor="_Toc525413969" w:history="1">
            <w:r w:rsidR="009B0A88" w:rsidRPr="00FD31CD">
              <w:rPr>
                <w:rStyle w:val="Hyperlink"/>
                <w:noProof/>
              </w:rPr>
              <w:t>3.</w:t>
            </w:r>
            <w:r w:rsidR="009B0A88">
              <w:rPr>
                <w:rFonts w:asciiTheme="minorHAnsi" w:eastAsiaTheme="minorEastAsia" w:hAnsiTheme="minorHAnsi" w:cstheme="minorBidi"/>
                <w:noProof/>
                <w:sz w:val="22"/>
                <w:lang w:eastAsia="en-GB"/>
              </w:rPr>
              <w:tab/>
            </w:r>
            <w:r w:rsidR="009B0A88" w:rsidRPr="00FD31CD">
              <w:rPr>
                <w:rStyle w:val="Hyperlink"/>
                <w:noProof/>
              </w:rPr>
              <w:t>Introduction</w:t>
            </w:r>
            <w:r w:rsidR="009B0A88">
              <w:rPr>
                <w:noProof/>
                <w:webHidden/>
              </w:rPr>
              <w:tab/>
            </w:r>
            <w:r w:rsidR="009B0A88">
              <w:rPr>
                <w:noProof/>
                <w:webHidden/>
              </w:rPr>
              <w:fldChar w:fldCharType="begin"/>
            </w:r>
            <w:r w:rsidR="009B0A88">
              <w:rPr>
                <w:noProof/>
                <w:webHidden/>
              </w:rPr>
              <w:instrText xml:space="preserve"> PAGEREF _Toc525413969 \h </w:instrText>
            </w:r>
            <w:r w:rsidR="009B0A88">
              <w:rPr>
                <w:noProof/>
                <w:webHidden/>
              </w:rPr>
            </w:r>
            <w:r w:rsidR="009B0A88">
              <w:rPr>
                <w:noProof/>
                <w:webHidden/>
              </w:rPr>
              <w:fldChar w:fldCharType="separate"/>
            </w:r>
            <w:r w:rsidR="00247F48">
              <w:rPr>
                <w:noProof/>
                <w:webHidden/>
              </w:rPr>
              <w:t>4</w:t>
            </w:r>
            <w:r w:rsidR="009B0A88">
              <w:rPr>
                <w:noProof/>
                <w:webHidden/>
              </w:rPr>
              <w:fldChar w:fldCharType="end"/>
            </w:r>
          </w:hyperlink>
        </w:p>
        <w:p w14:paraId="43377037" w14:textId="0C2353E4"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0" w:history="1">
            <w:r w:rsidR="009B0A88" w:rsidRPr="00FD31CD">
              <w:rPr>
                <w:rStyle w:val="Hyperlink"/>
                <w:noProof/>
              </w:rPr>
              <w:t>a)</w:t>
            </w:r>
            <w:r w:rsidR="009B0A88">
              <w:rPr>
                <w:rFonts w:asciiTheme="minorHAnsi" w:eastAsiaTheme="minorEastAsia" w:hAnsiTheme="minorHAnsi" w:cstheme="minorBidi"/>
                <w:noProof/>
                <w:sz w:val="22"/>
                <w:lang w:eastAsia="en-GB"/>
              </w:rPr>
              <w:tab/>
            </w:r>
            <w:r w:rsidR="009B0A88" w:rsidRPr="00FD31CD">
              <w:rPr>
                <w:rStyle w:val="Hyperlink"/>
                <w:noProof/>
              </w:rPr>
              <w:t>Legislative background</w:t>
            </w:r>
            <w:r w:rsidR="009B0A88">
              <w:rPr>
                <w:noProof/>
                <w:webHidden/>
              </w:rPr>
              <w:tab/>
            </w:r>
            <w:r w:rsidR="009B0A88">
              <w:rPr>
                <w:noProof/>
                <w:webHidden/>
              </w:rPr>
              <w:fldChar w:fldCharType="begin"/>
            </w:r>
            <w:r w:rsidR="009B0A88">
              <w:rPr>
                <w:noProof/>
                <w:webHidden/>
              </w:rPr>
              <w:instrText xml:space="preserve"> PAGEREF _Toc525413970 \h </w:instrText>
            </w:r>
            <w:r w:rsidR="009B0A88">
              <w:rPr>
                <w:noProof/>
                <w:webHidden/>
              </w:rPr>
            </w:r>
            <w:r w:rsidR="009B0A88">
              <w:rPr>
                <w:noProof/>
                <w:webHidden/>
              </w:rPr>
              <w:fldChar w:fldCharType="separate"/>
            </w:r>
            <w:r w:rsidR="00247F48">
              <w:rPr>
                <w:noProof/>
                <w:webHidden/>
              </w:rPr>
              <w:t>4</w:t>
            </w:r>
            <w:r w:rsidR="009B0A88">
              <w:rPr>
                <w:noProof/>
                <w:webHidden/>
              </w:rPr>
              <w:fldChar w:fldCharType="end"/>
            </w:r>
          </w:hyperlink>
        </w:p>
        <w:p w14:paraId="40D8D1F0" w14:textId="772DA8FD"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1" w:history="1">
            <w:r w:rsidR="009B0A88" w:rsidRPr="00FD31CD">
              <w:rPr>
                <w:rStyle w:val="Hyperlink"/>
                <w:noProof/>
              </w:rPr>
              <w:t>b)</w:t>
            </w:r>
            <w:r w:rsidR="009B0A88">
              <w:rPr>
                <w:rFonts w:asciiTheme="minorHAnsi" w:eastAsiaTheme="minorEastAsia" w:hAnsiTheme="minorHAnsi" w:cstheme="minorBidi"/>
                <w:noProof/>
                <w:sz w:val="22"/>
                <w:lang w:eastAsia="en-GB"/>
              </w:rPr>
              <w:tab/>
            </w:r>
            <w:r w:rsidR="009B0A88" w:rsidRPr="00FD31CD">
              <w:rPr>
                <w:rStyle w:val="Hyperlink"/>
                <w:noProof/>
              </w:rPr>
              <w:t>S167 lists</w:t>
            </w:r>
            <w:r w:rsidR="009B0A88">
              <w:rPr>
                <w:noProof/>
                <w:webHidden/>
              </w:rPr>
              <w:tab/>
            </w:r>
            <w:r w:rsidR="009B0A88">
              <w:rPr>
                <w:noProof/>
                <w:webHidden/>
              </w:rPr>
              <w:fldChar w:fldCharType="begin"/>
            </w:r>
            <w:r w:rsidR="009B0A88">
              <w:rPr>
                <w:noProof/>
                <w:webHidden/>
              </w:rPr>
              <w:instrText xml:space="preserve"> PAGEREF _Toc525413971 \h </w:instrText>
            </w:r>
            <w:r w:rsidR="009B0A88">
              <w:rPr>
                <w:noProof/>
                <w:webHidden/>
              </w:rPr>
            </w:r>
            <w:r w:rsidR="009B0A88">
              <w:rPr>
                <w:noProof/>
                <w:webHidden/>
              </w:rPr>
              <w:fldChar w:fldCharType="separate"/>
            </w:r>
            <w:r w:rsidR="00247F48">
              <w:rPr>
                <w:noProof/>
                <w:webHidden/>
              </w:rPr>
              <w:t>4</w:t>
            </w:r>
            <w:r w:rsidR="009B0A88">
              <w:rPr>
                <w:noProof/>
                <w:webHidden/>
              </w:rPr>
              <w:fldChar w:fldCharType="end"/>
            </w:r>
          </w:hyperlink>
        </w:p>
        <w:p w14:paraId="58FABA81" w14:textId="2C9D03BB"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2" w:history="1">
            <w:r w:rsidR="009B0A88" w:rsidRPr="00FD31CD">
              <w:rPr>
                <w:rStyle w:val="Hyperlink"/>
                <w:noProof/>
              </w:rPr>
              <w:t>c)</w:t>
            </w:r>
            <w:r w:rsidR="009B0A88">
              <w:rPr>
                <w:rFonts w:asciiTheme="minorHAnsi" w:eastAsiaTheme="minorEastAsia" w:hAnsiTheme="minorHAnsi" w:cstheme="minorBidi"/>
                <w:noProof/>
                <w:sz w:val="22"/>
                <w:lang w:eastAsia="en-GB"/>
              </w:rPr>
              <w:tab/>
            </w:r>
            <w:r w:rsidR="009B0A88" w:rsidRPr="00FD31CD">
              <w:rPr>
                <w:rStyle w:val="Hyperlink"/>
                <w:noProof/>
              </w:rPr>
              <w:t>The issue in question</w:t>
            </w:r>
            <w:r w:rsidR="009B0A88">
              <w:rPr>
                <w:noProof/>
                <w:webHidden/>
              </w:rPr>
              <w:tab/>
            </w:r>
            <w:r w:rsidR="009B0A88">
              <w:rPr>
                <w:noProof/>
                <w:webHidden/>
              </w:rPr>
              <w:fldChar w:fldCharType="begin"/>
            </w:r>
            <w:r w:rsidR="009B0A88">
              <w:rPr>
                <w:noProof/>
                <w:webHidden/>
              </w:rPr>
              <w:instrText xml:space="preserve"> PAGEREF _Toc525413972 \h </w:instrText>
            </w:r>
            <w:r w:rsidR="009B0A88">
              <w:rPr>
                <w:noProof/>
                <w:webHidden/>
              </w:rPr>
            </w:r>
            <w:r w:rsidR="009B0A88">
              <w:rPr>
                <w:noProof/>
                <w:webHidden/>
              </w:rPr>
              <w:fldChar w:fldCharType="separate"/>
            </w:r>
            <w:r w:rsidR="00247F48">
              <w:rPr>
                <w:noProof/>
                <w:webHidden/>
              </w:rPr>
              <w:t>5</w:t>
            </w:r>
            <w:r w:rsidR="009B0A88">
              <w:rPr>
                <w:noProof/>
                <w:webHidden/>
              </w:rPr>
              <w:fldChar w:fldCharType="end"/>
            </w:r>
          </w:hyperlink>
        </w:p>
        <w:p w14:paraId="25D1CA4C" w14:textId="36462203"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3" w:history="1">
            <w:r w:rsidR="009B0A88" w:rsidRPr="00FD31CD">
              <w:rPr>
                <w:rStyle w:val="Hyperlink"/>
                <w:noProof/>
              </w:rPr>
              <w:t>d)</w:t>
            </w:r>
            <w:r w:rsidR="009B0A88">
              <w:rPr>
                <w:rFonts w:asciiTheme="minorHAnsi" w:eastAsiaTheme="minorEastAsia" w:hAnsiTheme="minorHAnsi" w:cstheme="minorBidi"/>
                <w:noProof/>
                <w:sz w:val="22"/>
                <w:lang w:eastAsia="en-GB"/>
              </w:rPr>
              <w:tab/>
            </w:r>
            <w:r w:rsidR="009B0A88" w:rsidRPr="00FD31CD">
              <w:rPr>
                <w:rStyle w:val="Hyperlink"/>
                <w:noProof/>
              </w:rPr>
              <w:t>Earlier reports</w:t>
            </w:r>
            <w:r w:rsidR="009B0A88">
              <w:rPr>
                <w:noProof/>
                <w:webHidden/>
              </w:rPr>
              <w:tab/>
            </w:r>
            <w:r w:rsidR="009B0A88">
              <w:rPr>
                <w:noProof/>
                <w:webHidden/>
              </w:rPr>
              <w:fldChar w:fldCharType="begin"/>
            </w:r>
            <w:r w:rsidR="009B0A88">
              <w:rPr>
                <w:noProof/>
                <w:webHidden/>
              </w:rPr>
              <w:instrText xml:space="preserve"> PAGEREF _Toc525413973 \h </w:instrText>
            </w:r>
            <w:r w:rsidR="009B0A88">
              <w:rPr>
                <w:noProof/>
                <w:webHidden/>
              </w:rPr>
            </w:r>
            <w:r w:rsidR="009B0A88">
              <w:rPr>
                <w:noProof/>
                <w:webHidden/>
              </w:rPr>
              <w:fldChar w:fldCharType="separate"/>
            </w:r>
            <w:r w:rsidR="00247F48">
              <w:rPr>
                <w:noProof/>
                <w:webHidden/>
              </w:rPr>
              <w:t>5</w:t>
            </w:r>
            <w:r w:rsidR="009B0A88">
              <w:rPr>
                <w:noProof/>
                <w:webHidden/>
              </w:rPr>
              <w:fldChar w:fldCharType="end"/>
            </w:r>
          </w:hyperlink>
        </w:p>
        <w:p w14:paraId="7C4A7A81" w14:textId="29D9B13F"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74" w:history="1">
            <w:r w:rsidR="009B0A88" w:rsidRPr="00FD31CD">
              <w:rPr>
                <w:rStyle w:val="Hyperlink"/>
                <w:noProof/>
              </w:rPr>
              <w:t>July 2017 Report</w:t>
            </w:r>
            <w:r w:rsidR="009B0A88">
              <w:rPr>
                <w:noProof/>
                <w:webHidden/>
              </w:rPr>
              <w:tab/>
            </w:r>
            <w:r w:rsidR="009B0A88">
              <w:rPr>
                <w:noProof/>
                <w:webHidden/>
              </w:rPr>
              <w:fldChar w:fldCharType="begin"/>
            </w:r>
            <w:r w:rsidR="009B0A88">
              <w:rPr>
                <w:noProof/>
                <w:webHidden/>
              </w:rPr>
              <w:instrText xml:space="preserve"> PAGEREF _Toc525413974 \h </w:instrText>
            </w:r>
            <w:r w:rsidR="009B0A88">
              <w:rPr>
                <w:noProof/>
                <w:webHidden/>
              </w:rPr>
            </w:r>
            <w:r w:rsidR="009B0A88">
              <w:rPr>
                <w:noProof/>
                <w:webHidden/>
              </w:rPr>
              <w:fldChar w:fldCharType="separate"/>
            </w:r>
            <w:r w:rsidR="00247F48">
              <w:rPr>
                <w:noProof/>
                <w:webHidden/>
              </w:rPr>
              <w:t>5</w:t>
            </w:r>
            <w:r w:rsidR="009B0A88">
              <w:rPr>
                <w:noProof/>
                <w:webHidden/>
              </w:rPr>
              <w:fldChar w:fldCharType="end"/>
            </w:r>
          </w:hyperlink>
        </w:p>
        <w:p w14:paraId="504AB035" w14:textId="633E3318"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75" w:history="1">
            <w:r w:rsidR="009B0A88" w:rsidRPr="00FD31CD">
              <w:rPr>
                <w:rStyle w:val="Hyperlink"/>
                <w:noProof/>
              </w:rPr>
              <w:t>April 2018 Report</w:t>
            </w:r>
            <w:r w:rsidR="009B0A88">
              <w:rPr>
                <w:noProof/>
                <w:webHidden/>
              </w:rPr>
              <w:tab/>
            </w:r>
            <w:r w:rsidR="009B0A88">
              <w:rPr>
                <w:noProof/>
                <w:webHidden/>
              </w:rPr>
              <w:fldChar w:fldCharType="begin"/>
            </w:r>
            <w:r w:rsidR="009B0A88">
              <w:rPr>
                <w:noProof/>
                <w:webHidden/>
              </w:rPr>
              <w:instrText xml:space="preserve"> PAGEREF _Toc525413975 \h </w:instrText>
            </w:r>
            <w:r w:rsidR="009B0A88">
              <w:rPr>
                <w:noProof/>
                <w:webHidden/>
              </w:rPr>
            </w:r>
            <w:r w:rsidR="009B0A88">
              <w:rPr>
                <w:noProof/>
                <w:webHidden/>
              </w:rPr>
              <w:fldChar w:fldCharType="separate"/>
            </w:r>
            <w:r w:rsidR="00247F48">
              <w:rPr>
                <w:noProof/>
                <w:webHidden/>
              </w:rPr>
              <w:t>5</w:t>
            </w:r>
            <w:r w:rsidR="009B0A88">
              <w:rPr>
                <w:noProof/>
                <w:webHidden/>
              </w:rPr>
              <w:fldChar w:fldCharType="end"/>
            </w:r>
          </w:hyperlink>
        </w:p>
        <w:p w14:paraId="5C56B925" w14:textId="496FE77C" w:rsidR="009B0A88" w:rsidRDefault="00EC5565">
          <w:pPr>
            <w:pStyle w:val="TOC1"/>
            <w:rPr>
              <w:rFonts w:asciiTheme="minorHAnsi" w:eastAsiaTheme="minorEastAsia" w:hAnsiTheme="minorHAnsi" w:cstheme="minorBidi"/>
              <w:noProof/>
              <w:sz w:val="22"/>
              <w:lang w:eastAsia="en-GB"/>
            </w:rPr>
          </w:pPr>
          <w:hyperlink w:anchor="_Toc525413976" w:history="1">
            <w:r w:rsidR="009B0A88" w:rsidRPr="00FD31CD">
              <w:rPr>
                <w:rStyle w:val="Hyperlink"/>
                <w:noProof/>
              </w:rPr>
              <w:t>4.</w:t>
            </w:r>
            <w:r w:rsidR="009B0A88">
              <w:rPr>
                <w:rFonts w:asciiTheme="minorHAnsi" w:eastAsiaTheme="minorEastAsia" w:hAnsiTheme="minorHAnsi" w:cstheme="minorBidi"/>
                <w:noProof/>
                <w:sz w:val="22"/>
                <w:lang w:eastAsia="en-GB"/>
              </w:rPr>
              <w:tab/>
            </w:r>
            <w:r w:rsidR="009B0A88" w:rsidRPr="00FD31CD">
              <w:rPr>
                <w:rStyle w:val="Hyperlink"/>
                <w:noProof/>
              </w:rPr>
              <w:t>Methods</w:t>
            </w:r>
            <w:r w:rsidR="009B0A88">
              <w:rPr>
                <w:noProof/>
                <w:webHidden/>
              </w:rPr>
              <w:tab/>
            </w:r>
            <w:r w:rsidR="009B0A88">
              <w:rPr>
                <w:noProof/>
                <w:webHidden/>
              </w:rPr>
              <w:fldChar w:fldCharType="begin"/>
            </w:r>
            <w:r w:rsidR="009B0A88">
              <w:rPr>
                <w:noProof/>
                <w:webHidden/>
              </w:rPr>
              <w:instrText xml:space="preserve"> PAGEREF _Toc525413976 \h </w:instrText>
            </w:r>
            <w:r w:rsidR="009B0A88">
              <w:rPr>
                <w:noProof/>
                <w:webHidden/>
              </w:rPr>
            </w:r>
            <w:r w:rsidR="009B0A88">
              <w:rPr>
                <w:noProof/>
                <w:webHidden/>
              </w:rPr>
              <w:fldChar w:fldCharType="separate"/>
            </w:r>
            <w:r w:rsidR="00247F48">
              <w:rPr>
                <w:noProof/>
                <w:webHidden/>
              </w:rPr>
              <w:t>6</w:t>
            </w:r>
            <w:r w:rsidR="009B0A88">
              <w:rPr>
                <w:noProof/>
                <w:webHidden/>
              </w:rPr>
              <w:fldChar w:fldCharType="end"/>
            </w:r>
          </w:hyperlink>
        </w:p>
        <w:p w14:paraId="06099CC2" w14:textId="42322A29"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7" w:history="1">
            <w:r w:rsidR="009B0A88" w:rsidRPr="00FD31CD">
              <w:rPr>
                <w:rStyle w:val="Hyperlink"/>
                <w:noProof/>
              </w:rPr>
              <w:t>a)</w:t>
            </w:r>
            <w:r w:rsidR="009B0A88">
              <w:rPr>
                <w:rFonts w:asciiTheme="minorHAnsi" w:eastAsiaTheme="minorEastAsia" w:hAnsiTheme="minorHAnsi" w:cstheme="minorBidi"/>
                <w:noProof/>
                <w:sz w:val="22"/>
                <w:lang w:eastAsia="en-GB"/>
              </w:rPr>
              <w:tab/>
            </w:r>
            <w:r w:rsidR="009B0A88" w:rsidRPr="00FD31CD">
              <w:rPr>
                <w:rStyle w:val="Hyperlink"/>
                <w:noProof/>
              </w:rPr>
              <w:t>Licensing Bodies</w:t>
            </w:r>
            <w:r w:rsidR="009B0A88">
              <w:rPr>
                <w:noProof/>
                <w:webHidden/>
              </w:rPr>
              <w:tab/>
            </w:r>
            <w:r w:rsidR="009B0A88">
              <w:rPr>
                <w:noProof/>
                <w:webHidden/>
              </w:rPr>
              <w:fldChar w:fldCharType="begin"/>
            </w:r>
            <w:r w:rsidR="009B0A88">
              <w:rPr>
                <w:noProof/>
                <w:webHidden/>
              </w:rPr>
              <w:instrText xml:space="preserve"> PAGEREF _Toc525413977 \h </w:instrText>
            </w:r>
            <w:r w:rsidR="009B0A88">
              <w:rPr>
                <w:noProof/>
                <w:webHidden/>
              </w:rPr>
            </w:r>
            <w:r w:rsidR="009B0A88">
              <w:rPr>
                <w:noProof/>
                <w:webHidden/>
              </w:rPr>
              <w:fldChar w:fldCharType="separate"/>
            </w:r>
            <w:r w:rsidR="00247F48">
              <w:rPr>
                <w:noProof/>
                <w:webHidden/>
              </w:rPr>
              <w:t>6</w:t>
            </w:r>
            <w:r w:rsidR="009B0A88">
              <w:rPr>
                <w:noProof/>
                <w:webHidden/>
              </w:rPr>
              <w:fldChar w:fldCharType="end"/>
            </w:r>
          </w:hyperlink>
        </w:p>
        <w:p w14:paraId="39CF6990" w14:textId="18D538BE"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8" w:history="1">
            <w:r w:rsidR="009B0A88" w:rsidRPr="00FD31CD">
              <w:rPr>
                <w:rStyle w:val="Hyperlink"/>
                <w:noProof/>
              </w:rPr>
              <w:t>b)</w:t>
            </w:r>
            <w:r w:rsidR="009B0A88">
              <w:rPr>
                <w:rFonts w:asciiTheme="minorHAnsi" w:eastAsiaTheme="minorEastAsia" w:hAnsiTheme="minorHAnsi" w:cstheme="minorBidi"/>
                <w:noProof/>
                <w:sz w:val="22"/>
                <w:lang w:eastAsia="en-GB"/>
              </w:rPr>
              <w:tab/>
            </w:r>
            <w:r w:rsidR="009B0A88" w:rsidRPr="00FD31CD">
              <w:rPr>
                <w:rStyle w:val="Hyperlink"/>
                <w:noProof/>
              </w:rPr>
              <w:t>Freedom of Information (FOI) Requests</w:t>
            </w:r>
            <w:r w:rsidR="009B0A88">
              <w:rPr>
                <w:noProof/>
                <w:webHidden/>
              </w:rPr>
              <w:tab/>
            </w:r>
            <w:r w:rsidR="009B0A88">
              <w:rPr>
                <w:noProof/>
                <w:webHidden/>
              </w:rPr>
              <w:fldChar w:fldCharType="begin"/>
            </w:r>
            <w:r w:rsidR="009B0A88">
              <w:rPr>
                <w:noProof/>
                <w:webHidden/>
              </w:rPr>
              <w:instrText xml:space="preserve"> PAGEREF _Toc525413978 \h </w:instrText>
            </w:r>
            <w:r w:rsidR="009B0A88">
              <w:rPr>
                <w:noProof/>
                <w:webHidden/>
              </w:rPr>
            </w:r>
            <w:r w:rsidR="009B0A88">
              <w:rPr>
                <w:noProof/>
                <w:webHidden/>
              </w:rPr>
              <w:fldChar w:fldCharType="separate"/>
            </w:r>
            <w:r w:rsidR="00247F48">
              <w:rPr>
                <w:noProof/>
                <w:webHidden/>
              </w:rPr>
              <w:t>6</w:t>
            </w:r>
            <w:r w:rsidR="009B0A88">
              <w:rPr>
                <w:noProof/>
                <w:webHidden/>
              </w:rPr>
              <w:fldChar w:fldCharType="end"/>
            </w:r>
          </w:hyperlink>
        </w:p>
        <w:p w14:paraId="65117DCC" w14:textId="48A8854D"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79" w:history="1">
            <w:r w:rsidR="009B0A88" w:rsidRPr="00FD31CD">
              <w:rPr>
                <w:rStyle w:val="Hyperlink"/>
                <w:noProof/>
              </w:rPr>
              <w:t>c)</w:t>
            </w:r>
            <w:r w:rsidR="009B0A88">
              <w:rPr>
                <w:rFonts w:asciiTheme="minorHAnsi" w:eastAsiaTheme="minorEastAsia" w:hAnsiTheme="minorHAnsi" w:cstheme="minorBidi"/>
                <w:noProof/>
                <w:sz w:val="22"/>
                <w:lang w:eastAsia="en-GB"/>
              </w:rPr>
              <w:tab/>
            </w:r>
            <w:r w:rsidR="009B0A88" w:rsidRPr="00FD31CD">
              <w:rPr>
                <w:rStyle w:val="Hyperlink"/>
                <w:noProof/>
              </w:rPr>
              <w:t>Characteristics of licensing authorities</w:t>
            </w:r>
            <w:r w:rsidR="009B0A88">
              <w:rPr>
                <w:noProof/>
                <w:webHidden/>
              </w:rPr>
              <w:tab/>
            </w:r>
            <w:r w:rsidR="009B0A88">
              <w:rPr>
                <w:noProof/>
                <w:webHidden/>
              </w:rPr>
              <w:fldChar w:fldCharType="begin"/>
            </w:r>
            <w:r w:rsidR="009B0A88">
              <w:rPr>
                <w:noProof/>
                <w:webHidden/>
              </w:rPr>
              <w:instrText xml:space="preserve"> PAGEREF _Toc525413979 \h </w:instrText>
            </w:r>
            <w:r w:rsidR="009B0A88">
              <w:rPr>
                <w:noProof/>
                <w:webHidden/>
              </w:rPr>
            </w:r>
            <w:r w:rsidR="009B0A88">
              <w:rPr>
                <w:noProof/>
                <w:webHidden/>
              </w:rPr>
              <w:fldChar w:fldCharType="separate"/>
            </w:r>
            <w:r w:rsidR="00247F48">
              <w:rPr>
                <w:noProof/>
                <w:webHidden/>
              </w:rPr>
              <w:t>6</w:t>
            </w:r>
            <w:r w:rsidR="009B0A88">
              <w:rPr>
                <w:noProof/>
                <w:webHidden/>
              </w:rPr>
              <w:fldChar w:fldCharType="end"/>
            </w:r>
          </w:hyperlink>
        </w:p>
        <w:p w14:paraId="6B13D5B2" w14:textId="4121D96B"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80" w:history="1">
            <w:r w:rsidR="009B0A88" w:rsidRPr="00FD31CD">
              <w:rPr>
                <w:rStyle w:val="Hyperlink"/>
                <w:noProof/>
              </w:rPr>
              <w:t>Data for England, Scotland and Wales</w:t>
            </w:r>
            <w:r w:rsidR="009B0A88">
              <w:rPr>
                <w:noProof/>
                <w:webHidden/>
              </w:rPr>
              <w:tab/>
            </w:r>
            <w:r w:rsidR="009B0A88">
              <w:rPr>
                <w:noProof/>
                <w:webHidden/>
              </w:rPr>
              <w:fldChar w:fldCharType="begin"/>
            </w:r>
            <w:r w:rsidR="009B0A88">
              <w:rPr>
                <w:noProof/>
                <w:webHidden/>
              </w:rPr>
              <w:instrText xml:space="preserve"> PAGEREF _Toc525413980 \h </w:instrText>
            </w:r>
            <w:r w:rsidR="009B0A88">
              <w:rPr>
                <w:noProof/>
                <w:webHidden/>
              </w:rPr>
            </w:r>
            <w:r w:rsidR="009B0A88">
              <w:rPr>
                <w:noProof/>
                <w:webHidden/>
              </w:rPr>
              <w:fldChar w:fldCharType="separate"/>
            </w:r>
            <w:r w:rsidR="00247F48">
              <w:rPr>
                <w:noProof/>
                <w:webHidden/>
              </w:rPr>
              <w:t>6</w:t>
            </w:r>
            <w:r w:rsidR="009B0A88">
              <w:rPr>
                <w:noProof/>
                <w:webHidden/>
              </w:rPr>
              <w:fldChar w:fldCharType="end"/>
            </w:r>
          </w:hyperlink>
        </w:p>
        <w:p w14:paraId="72F9FEA7" w14:textId="466AADBF"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81" w:history="1">
            <w:r w:rsidR="009B0A88" w:rsidRPr="00FD31CD">
              <w:rPr>
                <w:rStyle w:val="Hyperlink"/>
                <w:noProof/>
              </w:rPr>
              <w:t>Data for England and Wales only</w:t>
            </w:r>
            <w:r w:rsidR="009B0A88">
              <w:rPr>
                <w:noProof/>
                <w:webHidden/>
              </w:rPr>
              <w:tab/>
            </w:r>
            <w:r w:rsidR="009B0A88">
              <w:rPr>
                <w:noProof/>
                <w:webHidden/>
              </w:rPr>
              <w:fldChar w:fldCharType="begin"/>
            </w:r>
            <w:r w:rsidR="009B0A88">
              <w:rPr>
                <w:noProof/>
                <w:webHidden/>
              </w:rPr>
              <w:instrText xml:space="preserve"> PAGEREF _Toc525413981 \h </w:instrText>
            </w:r>
            <w:r w:rsidR="009B0A88">
              <w:rPr>
                <w:noProof/>
                <w:webHidden/>
              </w:rPr>
            </w:r>
            <w:r w:rsidR="009B0A88">
              <w:rPr>
                <w:noProof/>
                <w:webHidden/>
              </w:rPr>
              <w:fldChar w:fldCharType="separate"/>
            </w:r>
            <w:r w:rsidR="00247F48">
              <w:rPr>
                <w:noProof/>
                <w:webHidden/>
              </w:rPr>
              <w:t>6</w:t>
            </w:r>
            <w:r w:rsidR="009B0A88">
              <w:rPr>
                <w:noProof/>
                <w:webHidden/>
              </w:rPr>
              <w:fldChar w:fldCharType="end"/>
            </w:r>
          </w:hyperlink>
        </w:p>
        <w:p w14:paraId="7BAB4992" w14:textId="3E6F3A10"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82" w:history="1">
            <w:r w:rsidR="009B0A88" w:rsidRPr="00FD31CD">
              <w:rPr>
                <w:rStyle w:val="Hyperlink"/>
                <w:noProof/>
              </w:rPr>
              <w:t>Data for England only</w:t>
            </w:r>
            <w:r w:rsidR="009B0A88">
              <w:rPr>
                <w:noProof/>
                <w:webHidden/>
              </w:rPr>
              <w:tab/>
            </w:r>
            <w:r w:rsidR="009B0A88">
              <w:rPr>
                <w:noProof/>
                <w:webHidden/>
              </w:rPr>
              <w:fldChar w:fldCharType="begin"/>
            </w:r>
            <w:r w:rsidR="009B0A88">
              <w:rPr>
                <w:noProof/>
                <w:webHidden/>
              </w:rPr>
              <w:instrText xml:space="preserve"> PAGEREF _Toc525413982 \h </w:instrText>
            </w:r>
            <w:r w:rsidR="009B0A88">
              <w:rPr>
                <w:noProof/>
                <w:webHidden/>
              </w:rPr>
            </w:r>
            <w:r w:rsidR="009B0A88">
              <w:rPr>
                <w:noProof/>
                <w:webHidden/>
              </w:rPr>
              <w:fldChar w:fldCharType="separate"/>
            </w:r>
            <w:r w:rsidR="00247F48">
              <w:rPr>
                <w:noProof/>
                <w:webHidden/>
              </w:rPr>
              <w:t>7</w:t>
            </w:r>
            <w:r w:rsidR="009B0A88">
              <w:rPr>
                <w:noProof/>
                <w:webHidden/>
              </w:rPr>
              <w:fldChar w:fldCharType="end"/>
            </w:r>
          </w:hyperlink>
        </w:p>
        <w:p w14:paraId="75325E72" w14:textId="1C7DE1DA"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83" w:history="1">
            <w:r w:rsidR="009B0A88" w:rsidRPr="00FD31CD">
              <w:rPr>
                <w:rStyle w:val="Hyperlink"/>
                <w:noProof/>
              </w:rPr>
              <w:t>d)</w:t>
            </w:r>
            <w:r w:rsidR="009B0A88">
              <w:rPr>
                <w:rFonts w:asciiTheme="minorHAnsi" w:eastAsiaTheme="minorEastAsia" w:hAnsiTheme="minorHAnsi" w:cstheme="minorBidi"/>
                <w:noProof/>
                <w:sz w:val="22"/>
                <w:lang w:eastAsia="en-GB"/>
              </w:rPr>
              <w:tab/>
            </w:r>
            <w:r w:rsidR="009B0A88" w:rsidRPr="00FD31CD">
              <w:rPr>
                <w:rStyle w:val="Hyperlink"/>
                <w:noProof/>
              </w:rPr>
              <w:t>Classification of Authorities’ Responses</w:t>
            </w:r>
            <w:r w:rsidR="009B0A88">
              <w:rPr>
                <w:noProof/>
                <w:webHidden/>
              </w:rPr>
              <w:tab/>
            </w:r>
            <w:r w:rsidR="009B0A88">
              <w:rPr>
                <w:noProof/>
                <w:webHidden/>
              </w:rPr>
              <w:fldChar w:fldCharType="begin"/>
            </w:r>
            <w:r w:rsidR="009B0A88">
              <w:rPr>
                <w:noProof/>
                <w:webHidden/>
              </w:rPr>
              <w:instrText xml:space="preserve"> PAGEREF _Toc525413983 \h </w:instrText>
            </w:r>
            <w:r w:rsidR="009B0A88">
              <w:rPr>
                <w:noProof/>
                <w:webHidden/>
              </w:rPr>
            </w:r>
            <w:r w:rsidR="009B0A88">
              <w:rPr>
                <w:noProof/>
                <w:webHidden/>
              </w:rPr>
              <w:fldChar w:fldCharType="separate"/>
            </w:r>
            <w:r w:rsidR="00247F48">
              <w:rPr>
                <w:noProof/>
                <w:webHidden/>
              </w:rPr>
              <w:t>7</w:t>
            </w:r>
            <w:r w:rsidR="009B0A88">
              <w:rPr>
                <w:noProof/>
                <w:webHidden/>
              </w:rPr>
              <w:fldChar w:fldCharType="end"/>
            </w:r>
          </w:hyperlink>
        </w:p>
        <w:p w14:paraId="285E37B9" w14:textId="6409C156"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84" w:history="1">
            <w:r w:rsidR="009B0A88" w:rsidRPr="00FD31CD">
              <w:rPr>
                <w:rStyle w:val="Hyperlink"/>
                <w:noProof/>
              </w:rPr>
              <w:t>S167 grade</w:t>
            </w:r>
            <w:r w:rsidR="009B0A88">
              <w:rPr>
                <w:noProof/>
                <w:webHidden/>
              </w:rPr>
              <w:tab/>
            </w:r>
            <w:r w:rsidR="009B0A88">
              <w:rPr>
                <w:noProof/>
                <w:webHidden/>
              </w:rPr>
              <w:fldChar w:fldCharType="begin"/>
            </w:r>
            <w:r w:rsidR="009B0A88">
              <w:rPr>
                <w:noProof/>
                <w:webHidden/>
              </w:rPr>
              <w:instrText xml:space="preserve"> PAGEREF _Toc525413984 \h </w:instrText>
            </w:r>
            <w:r w:rsidR="009B0A88">
              <w:rPr>
                <w:noProof/>
                <w:webHidden/>
              </w:rPr>
            </w:r>
            <w:r w:rsidR="009B0A88">
              <w:rPr>
                <w:noProof/>
                <w:webHidden/>
              </w:rPr>
              <w:fldChar w:fldCharType="separate"/>
            </w:r>
            <w:r w:rsidR="00247F48">
              <w:rPr>
                <w:noProof/>
                <w:webHidden/>
              </w:rPr>
              <w:t>7</w:t>
            </w:r>
            <w:r w:rsidR="009B0A88">
              <w:rPr>
                <w:noProof/>
                <w:webHidden/>
              </w:rPr>
              <w:fldChar w:fldCharType="end"/>
            </w:r>
          </w:hyperlink>
        </w:p>
        <w:p w14:paraId="418C74DF" w14:textId="04803F17"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85" w:history="1">
            <w:r w:rsidR="009B0A88" w:rsidRPr="00FD31CD">
              <w:rPr>
                <w:rStyle w:val="Hyperlink"/>
                <w:noProof/>
              </w:rPr>
              <w:t>e)</w:t>
            </w:r>
            <w:r w:rsidR="009B0A88">
              <w:rPr>
                <w:rFonts w:asciiTheme="minorHAnsi" w:eastAsiaTheme="minorEastAsia" w:hAnsiTheme="minorHAnsi" w:cstheme="minorBidi"/>
                <w:noProof/>
                <w:sz w:val="22"/>
                <w:lang w:eastAsia="en-GB"/>
              </w:rPr>
              <w:tab/>
            </w:r>
            <w:r w:rsidR="009B0A88" w:rsidRPr="00FD31CD">
              <w:rPr>
                <w:rStyle w:val="Hyperlink"/>
                <w:noProof/>
              </w:rPr>
              <w:t>Analysis</w:t>
            </w:r>
            <w:r w:rsidR="009B0A88">
              <w:rPr>
                <w:noProof/>
                <w:webHidden/>
              </w:rPr>
              <w:tab/>
            </w:r>
            <w:r w:rsidR="009B0A88">
              <w:rPr>
                <w:noProof/>
                <w:webHidden/>
              </w:rPr>
              <w:fldChar w:fldCharType="begin"/>
            </w:r>
            <w:r w:rsidR="009B0A88">
              <w:rPr>
                <w:noProof/>
                <w:webHidden/>
              </w:rPr>
              <w:instrText xml:space="preserve"> PAGEREF _Toc525413985 \h </w:instrText>
            </w:r>
            <w:r w:rsidR="009B0A88">
              <w:rPr>
                <w:noProof/>
                <w:webHidden/>
              </w:rPr>
            </w:r>
            <w:r w:rsidR="009B0A88">
              <w:rPr>
                <w:noProof/>
                <w:webHidden/>
              </w:rPr>
              <w:fldChar w:fldCharType="separate"/>
            </w:r>
            <w:r w:rsidR="00247F48">
              <w:rPr>
                <w:noProof/>
                <w:webHidden/>
              </w:rPr>
              <w:t>7</w:t>
            </w:r>
            <w:r w:rsidR="009B0A88">
              <w:rPr>
                <w:noProof/>
                <w:webHidden/>
              </w:rPr>
              <w:fldChar w:fldCharType="end"/>
            </w:r>
          </w:hyperlink>
        </w:p>
        <w:p w14:paraId="446C5F7C" w14:textId="0ADFA608" w:rsidR="009B0A88" w:rsidRDefault="00EC5565">
          <w:pPr>
            <w:pStyle w:val="TOC1"/>
            <w:rPr>
              <w:rFonts w:asciiTheme="minorHAnsi" w:eastAsiaTheme="minorEastAsia" w:hAnsiTheme="minorHAnsi" w:cstheme="minorBidi"/>
              <w:noProof/>
              <w:sz w:val="22"/>
              <w:lang w:eastAsia="en-GB"/>
            </w:rPr>
          </w:pPr>
          <w:hyperlink w:anchor="_Toc525413986" w:history="1">
            <w:r w:rsidR="009B0A88" w:rsidRPr="00FD31CD">
              <w:rPr>
                <w:rStyle w:val="Hyperlink"/>
                <w:noProof/>
              </w:rPr>
              <w:t>5.</w:t>
            </w:r>
            <w:r w:rsidR="009B0A88">
              <w:rPr>
                <w:rFonts w:asciiTheme="minorHAnsi" w:eastAsiaTheme="minorEastAsia" w:hAnsiTheme="minorHAnsi" w:cstheme="minorBidi"/>
                <w:noProof/>
                <w:sz w:val="22"/>
                <w:lang w:eastAsia="en-GB"/>
              </w:rPr>
              <w:tab/>
            </w:r>
            <w:r w:rsidR="009B0A88" w:rsidRPr="00FD31CD">
              <w:rPr>
                <w:rStyle w:val="Hyperlink"/>
                <w:noProof/>
              </w:rPr>
              <w:t>Results</w:t>
            </w:r>
            <w:r w:rsidR="009B0A88">
              <w:rPr>
                <w:noProof/>
                <w:webHidden/>
              </w:rPr>
              <w:tab/>
            </w:r>
            <w:r w:rsidR="009B0A88">
              <w:rPr>
                <w:noProof/>
                <w:webHidden/>
              </w:rPr>
              <w:fldChar w:fldCharType="begin"/>
            </w:r>
            <w:r w:rsidR="009B0A88">
              <w:rPr>
                <w:noProof/>
                <w:webHidden/>
              </w:rPr>
              <w:instrText xml:space="preserve"> PAGEREF _Toc525413986 \h </w:instrText>
            </w:r>
            <w:r w:rsidR="009B0A88">
              <w:rPr>
                <w:noProof/>
                <w:webHidden/>
              </w:rPr>
            </w:r>
            <w:r w:rsidR="009B0A88">
              <w:rPr>
                <w:noProof/>
                <w:webHidden/>
              </w:rPr>
              <w:fldChar w:fldCharType="separate"/>
            </w:r>
            <w:r w:rsidR="00247F48">
              <w:rPr>
                <w:noProof/>
                <w:webHidden/>
              </w:rPr>
              <w:t>8</w:t>
            </w:r>
            <w:r w:rsidR="009B0A88">
              <w:rPr>
                <w:noProof/>
                <w:webHidden/>
              </w:rPr>
              <w:fldChar w:fldCharType="end"/>
            </w:r>
          </w:hyperlink>
        </w:p>
        <w:p w14:paraId="0C97F509" w14:textId="02A3EC0F"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87" w:history="1">
            <w:r w:rsidR="009B0A88" w:rsidRPr="00FD31CD">
              <w:rPr>
                <w:rStyle w:val="Hyperlink"/>
                <w:noProof/>
              </w:rPr>
              <w:t>a)</w:t>
            </w:r>
            <w:r w:rsidR="009B0A88">
              <w:rPr>
                <w:rFonts w:asciiTheme="minorHAnsi" w:eastAsiaTheme="minorEastAsia" w:hAnsiTheme="minorHAnsi" w:cstheme="minorBidi"/>
                <w:noProof/>
                <w:sz w:val="22"/>
                <w:lang w:eastAsia="en-GB"/>
              </w:rPr>
              <w:tab/>
            </w:r>
            <w:r w:rsidR="009B0A88" w:rsidRPr="00FD31CD">
              <w:rPr>
                <w:rStyle w:val="Hyperlink"/>
                <w:noProof/>
              </w:rPr>
              <w:t>Accompanying spreadsheet</w:t>
            </w:r>
            <w:r w:rsidR="009B0A88">
              <w:rPr>
                <w:noProof/>
                <w:webHidden/>
              </w:rPr>
              <w:tab/>
            </w:r>
            <w:r w:rsidR="009B0A88">
              <w:rPr>
                <w:noProof/>
                <w:webHidden/>
              </w:rPr>
              <w:fldChar w:fldCharType="begin"/>
            </w:r>
            <w:r w:rsidR="009B0A88">
              <w:rPr>
                <w:noProof/>
                <w:webHidden/>
              </w:rPr>
              <w:instrText xml:space="preserve"> PAGEREF _Toc525413987 \h </w:instrText>
            </w:r>
            <w:r w:rsidR="009B0A88">
              <w:rPr>
                <w:noProof/>
                <w:webHidden/>
              </w:rPr>
            </w:r>
            <w:r w:rsidR="009B0A88">
              <w:rPr>
                <w:noProof/>
                <w:webHidden/>
              </w:rPr>
              <w:fldChar w:fldCharType="separate"/>
            </w:r>
            <w:r w:rsidR="00247F48">
              <w:rPr>
                <w:noProof/>
                <w:webHidden/>
              </w:rPr>
              <w:t>8</w:t>
            </w:r>
            <w:r w:rsidR="009B0A88">
              <w:rPr>
                <w:noProof/>
                <w:webHidden/>
              </w:rPr>
              <w:fldChar w:fldCharType="end"/>
            </w:r>
          </w:hyperlink>
        </w:p>
        <w:p w14:paraId="3CA01DB5" w14:textId="53B6E90E"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88" w:history="1">
            <w:r w:rsidR="009B0A88" w:rsidRPr="00FD31CD">
              <w:rPr>
                <w:rStyle w:val="Hyperlink"/>
                <w:noProof/>
              </w:rPr>
              <w:t>b)</w:t>
            </w:r>
            <w:r w:rsidR="009B0A88">
              <w:rPr>
                <w:rFonts w:asciiTheme="minorHAnsi" w:eastAsiaTheme="minorEastAsia" w:hAnsiTheme="minorHAnsi" w:cstheme="minorBidi"/>
                <w:noProof/>
                <w:sz w:val="22"/>
                <w:lang w:eastAsia="en-GB"/>
              </w:rPr>
              <w:tab/>
            </w:r>
            <w:r w:rsidR="009B0A88" w:rsidRPr="00FD31CD">
              <w:rPr>
                <w:rStyle w:val="Hyperlink"/>
                <w:noProof/>
              </w:rPr>
              <w:t>S167 take-up</w:t>
            </w:r>
            <w:r w:rsidR="009B0A88">
              <w:rPr>
                <w:noProof/>
                <w:webHidden/>
              </w:rPr>
              <w:tab/>
            </w:r>
            <w:r w:rsidR="009B0A88">
              <w:rPr>
                <w:noProof/>
                <w:webHidden/>
              </w:rPr>
              <w:fldChar w:fldCharType="begin"/>
            </w:r>
            <w:r w:rsidR="009B0A88">
              <w:rPr>
                <w:noProof/>
                <w:webHidden/>
              </w:rPr>
              <w:instrText xml:space="preserve"> PAGEREF _Toc525413988 \h </w:instrText>
            </w:r>
            <w:r w:rsidR="009B0A88">
              <w:rPr>
                <w:noProof/>
                <w:webHidden/>
              </w:rPr>
            </w:r>
            <w:r w:rsidR="009B0A88">
              <w:rPr>
                <w:noProof/>
                <w:webHidden/>
              </w:rPr>
              <w:fldChar w:fldCharType="separate"/>
            </w:r>
            <w:r w:rsidR="00247F48">
              <w:rPr>
                <w:noProof/>
                <w:webHidden/>
              </w:rPr>
              <w:t>8</w:t>
            </w:r>
            <w:r w:rsidR="009B0A88">
              <w:rPr>
                <w:noProof/>
                <w:webHidden/>
              </w:rPr>
              <w:fldChar w:fldCharType="end"/>
            </w:r>
          </w:hyperlink>
        </w:p>
        <w:p w14:paraId="65A06E83" w14:textId="4514DAC9"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3989" w:history="1">
            <w:r w:rsidR="009B0A88" w:rsidRPr="00FD31CD">
              <w:rPr>
                <w:rStyle w:val="Hyperlink"/>
                <w:noProof/>
              </w:rPr>
              <w:t>Overall</w:t>
            </w:r>
            <w:r w:rsidR="009B0A88">
              <w:rPr>
                <w:noProof/>
                <w:webHidden/>
              </w:rPr>
              <w:tab/>
            </w:r>
            <w:r w:rsidR="009B0A88">
              <w:rPr>
                <w:noProof/>
                <w:webHidden/>
              </w:rPr>
              <w:fldChar w:fldCharType="begin"/>
            </w:r>
            <w:r w:rsidR="009B0A88">
              <w:rPr>
                <w:noProof/>
                <w:webHidden/>
              </w:rPr>
              <w:instrText xml:space="preserve"> PAGEREF _Toc525413989 \h </w:instrText>
            </w:r>
            <w:r w:rsidR="009B0A88">
              <w:rPr>
                <w:noProof/>
                <w:webHidden/>
              </w:rPr>
            </w:r>
            <w:r w:rsidR="009B0A88">
              <w:rPr>
                <w:noProof/>
                <w:webHidden/>
              </w:rPr>
              <w:fldChar w:fldCharType="separate"/>
            </w:r>
            <w:r w:rsidR="00247F48">
              <w:rPr>
                <w:noProof/>
                <w:webHidden/>
              </w:rPr>
              <w:t>8</w:t>
            </w:r>
            <w:r w:rsidR="009B0A88">
              <w:rPr>
                <w:noProof/>
                <w:webHidden/>
              </w:rPr>
              <w:fldChar w:fldCharType="end"/>
            </w:r>
          </w:hyperlink>
        </w:p>
        <w:p w14:paraId="56BC758D" w14:textId="21589DB4"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0" w:history="1">
            <w:r w:rsidR="009B0A88" w:rsidRPr="00FD31CD">
              <w:rPr>
                <w:rStyle w:val="Hyperlink"/>
                <w:noProof/>
              </w:rPr>
              <w:t>c)</w:t>
            </w:r>
            <w:r w:rsidR="009B0A88">
              <w:rPr>
                <w:rFonts w:asciiTheme="minorHAnsi" w:eastAsiaTheme="minorEastAsia" w:hAnsiTheme="minorHAnsi" w:cstheme="minorBidi"/>
                <w:noProof/>
                <w:sz w:val="22"/>
                <w:lang w:eastAsia="en-GB"/>
              </w:rPr>
              <w:tab/>
            </w:r>
            <w:r w:rsidR="009B0A88" w:rsidRPr="00FD31CD">
              <w:rPr>
                <w:rStyle w:val="Hyperlink"/>
                <w:noProof/>
              </w:rPr>
              <w:t>S167 Grade</w:t>
            </w:r>
            <w:r w:rsidR="009B0A88">
              <w:rPr>
                <w:noProof/>
                <w:webHidden/>
              </w:rPr>
              <w:tab/>
            </w:r>
            <w:r w:rsidR="009B0A88">
              <w:rPr>
                <w:noProof/>
                <w:webHidden/>
              </w:rPr>
              <w:fldChar w:fldCharType="begin"/>
            </w:r>
            <w:r w:rsidR="009B0A88">
              <w:rPr>
                <w:noProof/>
                <w:webHidden/>
              </w:rPr>
              <w:instrText xml:space="preserve"> PAGEREF _Toc525413990 \h </w:instrText>
            </w:r>
            <w:r w:rsidR="009B0A88">
              <w:rPr>
                <w:noProof/>
                <w:webHidden/>
              </w:rPr>
            </w:r>
            <w:r w:rsidR="009B0A88">
              <w:rPr>
                <w:noProof/>
                <w:webHidden/>
              </w:rPr>
              <w:fldChar w:fldCharType="separate"/>
            </w:r>
            <w:r w:rsidR="00247F48">
              <w:rPr>
                <w:noProof/>
                <w:webHidden/>
              </w:rPr>
              <w:t>11</w:t>
            </w:r>
            <w:r w:rsidR="009B0A88">
              <w:rPr>
                <w:noProof/>
                <w:webHidden/>
              </w:rPr>
              <w:fldChar w:fldCharType="end"/>
            </w:r>
          </w:hyperlink>
        </w:p>
        <w:p w14:paraId="16F67386" w14:textId="19C41583"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1" w:history="1">
            <w:r w:rsidR="009B0A88" w:rsidRPr="00FD31CD">
              <w:rPr>
                <w:rStyle w:val="Hyperlink"/>
                <w:noProof/>
              </w:rPr>
              <w:t>d)</w:t>
            </w:r>
            <w:r w:rsidR="009B0A88">
              <w:rPr>
                <w:rFonts w:asciiTheme="minorHAnsi" w:eastAsiaTheme="minorEastAsia" w:hAnsiTheme="minorHAnsi" w:cstheme="minorBidi"/>
                <w:noProof/>
                <w:sz w:val="22"/>
                <w:lang w:eastAsia="en-GB"/>
              </w:rPr>
              <w:tab/>
            </w:r>
            <w:r w:rsidR="009B0A88" w:rsidRPr="00FD31CD">
              <w:rPr>
                <w:rStyle w:val="Hyperlink"/>
                <w:noProof/>
              </w:rPr>
              <w:t>Change in intent and grade</w:t>
            </w:r>
            <w:r w:rsidR="009B0A88">
              <w:rPr>
                <w:noProof/>
                <w:webHidden/>
              </w:rPr>
              <w:tab/>
            </w:r>
            <w:r w:rsidR="009B0A88">
              <w:rPr>
                <w:noProof/>
                <w:webHidden/>
              </w:rPr>
              <w:fldChar w:fldCharType="begin"/>
            </w:r>
            <w:r w:rsidR="009B0A88">
              <w:rPr>
                <w:noProof/>
                <w:webHidden/>
              </w:rPr>
              <w:instrText xml:space="preserve"> PAGEREF _Toc525413991 \h </w:instrText>
            </w:r>
            <w:r w:rsidR="009B0A88">
              <w:rPr>
                <w:noProof/>
                <w:webHidden/>
              </w:rPr>
            </w:r>
            <w:r w:rsidR="009B0A88">
              <w:rPr>
                <w:noProof/>
                <w:webHidden/>
              </w:rPr>
              <w:fldChar w:fldCharType="separate"/>
            </w:r>
            <w:r w:rsidR="00247F48">
              <w:rPr>
                <w:noProof/>
                <w:webHidden/>
              </w:rPr>
              <w:t>14</w:t>
            </w:r>
            <w:r w:rsidR="009B0A88">
              <w:rPr>
                <w:noProof/>
                <w:webHidden/>
              </w:rPr>
              <w:fldChar w:fldCharType="end"/>
            </w:r>
          </w:hyperlink>
        </w:p>
        <w:p w14:paraId="07BA923B" w14:textId="6EAA9BC6"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2" w:history="1">
            <w:r w:rsidR="009B0A88" w:rsidRPr="00FD31CD">
              <w:rPr>
                <w:rStyle w:val="Hyperlink"/>
                <w:noProof/>
              </w:rPr>
              <w:t>e)</w:t>
            </w:r>
            <w:r w:rsidR="009B0A88">
              <w:rPr>
                <w:rFonts w:asciiTheme="minorHAnsi" w:eastAsiaTheme="minorEastAsia" w:hAnsiTheme="minorHAnsi" w:cstheme="minorBidi"/>
                <w:noProof/>
                <w:sz w:val="22"/>
                <w:lang w:eastAsia="en-GB"/>
              </w:rPr>
              <w:tab/>
            </w:r>
            <w:r w:rsidR="009B0A88" w:rsidRPr="00FD31CD">
              <w:rPr>
                <w:rStyle w:val="Hyperlink"/>
                <w:noProof/>
              </w:rPr>
              <w:t>Reasons for not implementing S165/S167</w:t>
            </w:r>
            <w:r w:rsidR="009B0A88">
              <w:rPr>
                <w:noProof/>
                <w:webHidden/>
              </w:rPr>
              <w:tab/>
            </w:r>
            <w:r w:rsidR="009B0A88">
              <w:rPr>
                <w:noProof/>
                <w:webHidden/>
              </w:rPr>
              <w:fldChar w:fldCharType="begin"/>
            </w:r>
            <w:r w:rsidR="009B0A88">
              <w:rPr>
                <w:noProof/>
                <w:webHidden/>
              </w:rPr>
              <w:instrText xml:space="preserve"> PAGEREF _Toc525413992 \h </w:instrText>
            </w:r>
            <w:r w:rsidR="009B0A88">
              <w:rPr>
                <w:noProof/>
                <w:webHidden/>
              </w:rPr>
            </w:r>
            <w:r w:rsidR="009B0A88">
              <w:rPr>
                <w:noProof/>
                <w:webHidden/>
              </w:rPr>
              <w:fldChar w:fldCharType="separate"/>
            </w:r>
            <w:r w:rsidR="00247F48">
              <w:rPr>
                <w:noProof/>
                <w:webHidden/>
              </w:rPr>
              <w:t>16</w:t>
            </w:r>
            <w:r w:rsidR="009B0A88">
              <w:rPr>
                <w:noProof/>
                <w:webHidden/>
              </w:rPr>
              <w:fldChar w:fldCharType="end"/>
            </w:r>
          </w:hyperlink>
        </w:p>
        <w:p w14:paraId="1B889DE7" w14:textId="48BD044B"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3" w:history="1">
            <w:r w:rsidR="009B0A88" w:rsidRPr="00FD31CD">
              <w:rPr>
                <w:rStyle w:val="Hyperlink"/>
                <w:noProof/>
                <w:spacing w:val="4"/>
              </w:rPr>
              <w:t>f)</w:t>
            </w:r>
            <w:r w:rsidR="009B0A88">
              <w:rPr>
                <w:rFonts w:asciiTheme="minorHAnsi" w:eastAsiaTheme="minorEastAsia" w:hAnsiTheme="minorHAnsi" w:cstheme="minorBidi"/>
                <w:noProof/>
                <w:sz w:val="22"/>
                <w:lang w:eastAsia="en-GB"/>
              </w:rPr>
              <w:tab/>
            </w:r>
            <w:r w:rsidR="009B0A88" w:rsidRPr="00FD31CD">
              <w:rPr>
                <w:rStyle w:val="Hyperlink"/>
                <w:noProof/>
                <w:spacing w:val="4"/>
              </w:rPr>
              <w:t>Compliance with Department for Transport Guidance</w:t>
            </w:r>
            <w:r w:rsidR="009B0A88">
              <w:rPr>
                <w:noProof/>
                <w:webHidden/>
              </w:rPr>
              <w:tab/>
            </w:r>
            <w:r w:rsidR="009B0A88">
              <w:rPr>
                <w:noProof/>
                <w:webHidden/>
              </w:rPr>
              <w:fldChar w:fldCharType="begin"/>
            </w:r>
            <w:r w:rsidR="009B0A88">
              <w:rPr>
                <w:noProof/>
                <w:webHidden/>
              </w:rPr>
              <w:instrText xml:space="preserve"> PAGEREF _Toc525413993 \h </w:instrText>
            </w:r>
            <w:r w:rsidR="009B0A88">
              <w:rPr>
                <w:noProof/>
                <w:webHidden/>
              </w:rPr>
            </w:r>
            <w:r w:rsidR="009B0A88">
              <w:rPr>
                <w:noProof/>
                <w:webHidden/>
              </w:rPr>
              <w:fldChar w:fldCharType="separate"/>
            </w:r>
            <w:r w:rsidR="00247F48">
              <w:rPr>
                <w:noProof/>
                <w:webHidden/>
              </w:rPr>
              <w:t>17</w:t>
            </w:r>
            <w:r w:rsidR="009B0A88">
              <w:rPr>
                <w:noProof/>
                <w:webHidden/>
              </w:rPr>
              <w:fldChar w:fldCharType="end"/>
            </w:r>
          </w:hyperlink>
        </w:p>
        <w:p w14:paraId="631E70CC" w14:textId="2ADE796F"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4" w:history="1">
            <w:r w:rsidR="009B0A88" w:rsidRPr="00FD31CD">
              <w:rPr>
                <w:rStyle w:val="Hyperlink"/>
                <w:noProof/>
                <w:spacing w:val="4"/>
              </w:rPr>
              <w:t>g)</w:t>
            </w:r>
            <w:r w:rsidR="009B0A88">
              <w:rPr>
                <w:rFonts w:asciiTheme="minorHAnsi" w:eastAsiaTheme="minorEastAsia" w:hAnsiTheme="minorHAnsi" w:cstheme="minorBidi"/>
                <w:noProof/>
                <w:sz w:val="22"/>
                <w:lang w:eastAsia="en-GB"/>
              </w:rPr>
              <w:tab/>
            </w:r>
            <w:r w:rsidR="009B0A88" w:rsidRPr="00FD31CD">
              <w:rPr>
                <w:rStyle w:val="Hyperlink"/>
                <w:noProof/>
                <w:spacing w:val="4"/>
              </w:rPr>
              <w:t>Medical Exemptions under S166</w:t>
            </w:r>
            <w:r w:rsidR="009B0A88">
              <w:rPr>
                <w:noProof/>
                <w:webHidden/>
              </w:rPr>
              <w:tab/>
            </w:r>
            <w:r w:rsidR="009B0A88">
              <w:rPr>
                <w:noProof/>
                <w:webHidden/>
              </w:rPr>
              <w:fldChar w:fldCharType="begin"/>
            </w:r>
            <w:r w:rsidR="009B0A88">
              <w:rPr>
                <w:noProof/>
                <w:webHidden/>
              </w:rPr>
              <w:instrText xml:space="preserve"> PAGEREF _Toc525413994 \h </w:instrText>
            </w:r>
            <w:r w:rsidR="009B0A88">
              <w:rPr>
                <w:noProof/>
                <w:webHidden/>
              </w:rPr>
            </w:r>
            <w:r w:rsidR="009B0A88">
              <w:rPr>
                <w:noProof/>
                <w:webHidden/>
              </w:rPr>
              <w:fldChar w:fldCharType="separate"/>
            </w:r>
            <w:r w:rsidR="00247F48">
              <w:rPr>
                <w:noProof/>
                <w:webHidden/>
              </w:rPr>
              <w:t>18</w:t>
            </w:r>
            <w:r w:rsidR="009B0A88">
              <w:rPr>
                <w:noProof/>
                <w:webHidden/>
              </w:rPr>
              <w:fldChar w:fldCharType="end"/>
            </w:r>
          </w:hyperlink>
        </w:p>
        <w:p w14:paraId="21DA1FB2" w14:textId="0030F81A"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5" w:history="1">
            <w:r w:rsidR="009B0A88" w:rsidRPr="00FD31CD">
              <w:rPr>
                <w:rStyle w:val="Hyperlink"/>
                <w:noProof/>
                <w:spacing w:val="4"/>
              </w:rPr>
              <w:t>h)</w:t>
            </w:r>
            <w:r w:rsidR="009B0A88">
              <w:rPr>
                <w:rFonts w:asciiTheme="minorHAnsi" w:eastAsiaTheme="minorEastAsia" w:hAnsiTheme="minorHAnsi" w:cstheme="minorBidi"/>
                <w:noProof/>
                <w:sz w:val="22"/>
                <w:lang w:eastAsia="en-GB"/>
              </w:rPr>
              <w:tab/>
            </w:r>
            <w:r w:rsidR="009B0A88" w:rsidRPr="00FD31CD">
              <w:rPr>
                <w:rStyle w:val="Hyperlink"/>
                <w:noProof/>
                <w:spacing w:val="4"/>
              </w:rPr>
              <w:t>Statutory appeal mechanisms</w:t>
            </w:r>
            <w:r w:rsidR="009B0A88">
              <w:rPr>
                <w:noProof/>
                <w:webHidden/>
              </w:rPr>
              <w:tab/>
            </w:r>
            <w:r w:rsidR="009B0A88">
              <w:rPr>
                <w:noProof/>
                <w:webHidden/>
              </w:rPr>
              <w:fldChar w:fldCharType="begin"/>
            </w:r>
            <w:r w:rsidR="009B0A88">
              <w:rPr>
                <w:noProof/>
                <w:webHidden/>
              </w:rPr>
              <w:instrText xml:space="preserve"> PAGEREF _Toc525413995 \h </w:instrText>
            </w:r>
            <w:r w:rsidR="009B0A88">
              <w:rPr>
                <w:noProof/>
                <w:webHidden/>
              </w:rPr>
            </w:r>
            <w:r w:rsidR="009B0A88">
              <w:rPr>
                <w:noProof/>
                <w:webHidden/>
              </w:rPr>
              <w:fldChar w:fldCharType="separate"/>
            </w:r>
            <w:r w:rsidR="00247F48">
              <w:rPr>
                <w:noProof/>
                <w:webHidden/>
              </w:rPr>
              <w:t>20</w:t>
            </w:r>
            <w:r w:rsidR="009B0A88">
              <w:rPr>
                <w:noProof/>
                <w:webHidden/>
              </w:rPr>
              <w:fldChar w:fldCharType="end"/>
            </w:r>
          </w:hyperlink>
        </w:p>
        <w:p w14:paraId="47FEC47C" w14:textId="3E436909"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6" w:history="1">
            <w:r w:rsidR="009B0A88" w:rsidRPr="00FD31CD">
              <w:rPr>
                <w:rStyle w:val="Hyperlink"/>
                <w:noProof/>
              </w:rPr>
              <w:t>i)</w:t>
            </w:r>
            <w:r w:rsidR="009B0A88">
              <w:rPr>
                <w:rFonts w:asciiTheme="minorHAnsi" w:eastAsiaTheme="minorEastAsia" w:hAnsiTheme="minorHAnsi" w:cstheme="minorBidi"/>
                <w:noProof/>
                <w:sz w:val="22"/>
                <w:lang w:eastAsia="en-GB"/>
              </w:rPr>
              <w:tab/>
            </w:r>
            <w:r w:rsidR="009B0A88" w:rsidRPr="00FD31CD">
              <w:rPr>
                <w:rStyle w:val="Hyperlink"/>
                <w:noProof/>
              </w:rPr>
              <w:t>Enforcement</w:t>
            </w:r>
            <w:r w:rsidR="009B0A88">
              <w:rPr>
                <w:noProof/>
                <w:webHidden/>
              </w:rPr>
              <w:tab/>
            </w:r>
            <w:r w:rsidR="009B0A88">
              <w:rPr>
                <w:noProof/>
                <w:webHidden/>
              </w:rPr>
              <w:fldChar w:fldCharType="begin"/>
            </w:r>
            <w:r w:rsidR="009B0A88">
              <w:rPr>
                <w:noProof/>
                <w:webHidden/>
              </w:rPr>
              <w:instrText xml:space="preserve"> PAGEREF _Toc525413996 \h </w:instrText>
            </w:r>
            <w:r w:rsidR="009B0A88">
              <w:rPr>
                <w:noProof/>
                <w:webHidden/>
              </w:rPr>
            </w:r>
            <w:r w:rsidR="009B0A88">
              <w:rPr>
                <w:noProof/>
                <w:webHidden/>
              </w:rPr>
              <w:fldChar w:fldCharType="separate"/>
            </w:r>
            <w:r w:rsidR="00247F48">
              <w:rPr>
                <w:noProof/>
                <w:webHidden/>
              </w:rPr>
              <w:t>20</w:t>
            </w:r>
            <w:r w:rsidR="009B0A88">
              <w:rPr>
                <w:noProof/>
                <w:webHidden/>
              </w:rPr>
              <w:fldChar w:fldCharType="end"/>
            </w:r>
          </w:hyperlink>
        </w:p>
        <w:p w14:paraId="13C49434" w14:textId="07FC0A55"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7" w:history="1">
            <w:r w:rsidR="009B0A88" w:rsidRPr="00FD31CD">
              <w:rPr>
                <w:rStyle w:val="Hyperlink"/>
                <w:noProof/>
              </w:rPr>
              <w:t>j)</w:t>
            </w:r>
            <w:r w:rsidR="009B0A88">
              <w:rPr>
                <w:rFonts w:asciiTheme="minorHAnsi" w:eastAsiaTheme="minorEastAsia" w:hAnsiTheme="minorHAnsi" w:cstheme="minorBidi"/>
                <w:noProof/>
                <w:sz w:val="22"/>
                <w:lang w:eastAsia="en-GB"/>
              </w:rPr>
              <w:tab/>
            </w:r>
            <w:r w:rsidR="009B0A88" w:rsidRPr="00FD31CD">
              <w:rPr>
                <w:rStyle w:val="Hyperlink"/>
                <w:noProof/>
              </w:rPr>
              <w:t>Confusion over S167</w:t>
            </w:r>
            <w:r w:rsidR="009B0A88">
              <w:rPr>
                <w:noProof/>
                <w:webHidden/>
              </w:rPr>
              <w:tab/>
            </w:r>
            <w:r w:rsidR="009B0A88">
              <w:rPr>
                <w:noProof/>
                <w:webHidden/>
              </w:rPr>
              <w:fldChar w:fldCharType="begin"/>
            </w:r>
            <w:r w:rsidR="009B0A88">
              <w:rPr>
                <w:noProof/>
                <w:webHidden/>
              </w:rPr>
              <w:instrText xml:space="preserve"> PAGEREF _Toc525413997 \h </w:instrText>
            </w:r>
            <w:r w:rsidR="009B0A88">
              <w:rPr>
                <w:noProof/>
                <w:webHidden/>
              </w:rPr>
            </w:r>
            <w:r w:rsidR="009B0A88">
              <w:rPr>
                <w:noProof/>
                <w:webHidden/>
              </w:rPr>
              <w:fldChar w:fldCharType="separate"/>
            </w:r>
            <w:r w:rsidR="00247F48">
              <w:rPr>
                <w:noProof/>
                <w:webHidden/>
              </w:rPr>
              <w:t>21</w:t>
            </w:r>
            <w:r w:rsidR="009B0A88">
              <w:rPr>
                <w:noProof/>
                <w:webHidden/>
              </w:rPr>
              <w:fldChar w:fldCharType="end"/>
            </w:r>
          </w:hyperlink>
        </w:p>
        <w:p w14:paraId="7776497B" w14:textId="085ABD71" w:rsidR="009B0A88" w:rsidRDefault="00EC5565">
          <w:pPr>
            <w:pStyle w:val="TOC1"/>
            <w:rPr>
              <w:rFonts w:asciiTheme="minorHAnsi" w:eastAsiaTheme="minorEastAsia" w:hAnsiTheme="minorHAnsi" w:cstheme="minorBidi"/>
              <w:noProof/>
              <w:sz w:val="22"/>
              <w:lang w:eastAsia="en-GB"/>
            </w:rPr>
          </w:pPr>
          <w:hyperlink w:anchor="_Toc525413998" w:history="1">
            <w:r w:rsidR="009B0A88" w:rsidRPr="00FD31CD">
              <w:rPr>
                <w:rStyle w:val="Hyperlink"/>
                <w:noProof/>
              </w:rPr>
              <w:t>6.</w:t>
            </w:r>
            <w:r w:rsidR="009B0A88">
              <w:rPr>
                <w:rFonts w:asciiTheme="minorHAnsi" w:eastAsiaTheme="minorEastAsia" w:hAnsiTheme="minorHAnsi" w:cstheme="minorBidi"/>
                <w:noProof/>
                <w:sz w:val="22"/>
                <w:lang w:eastAsia="en-GB"/>
              </w:rPr>
              <w:tab/>
            </w:r>
            <w:r w:rsidR="009B0A88" w:rsidRPr="00FD31CD">
              <w:rPr>
                <w:rStyle w:val="Hyperlink"/>
                <w:noProof/>
              </w:rPr>
              <w:t>Discussion</w:t>
            </w:r>
            <w:r w:rsidR="009B0A88">
              <w:rPr>
                <w:noProof/>
                <w:webHidden/>
              </w:rPr>
              <w:tab/>
            </w:r>
            <w:r w:rsidR="009B0A88">
              <w:rPr>
                <w:noProof/>
                <w:webHidden/>
              </w:rPr>
              <w:fldChar w:fldCharType="begin"/>
            </w:r>
            <w:r w:rsidR="009B0A88">
              <w:rPr>
                <w:noProof/>
                <w:webHidden/>
              </w:rPr>
              <w:instrText xml:space="preserve"> PAGEREF _Toc525413998 \h </w:instrText>
            </w:r>
            <w:r w:rsidR="009B0A88">
              <w:rPr>
                <w:noProof/>
                <w:webHidden/>
              </w:rPr>
            </w:r>
            <w:r w:rsidR="009B0A88">
              <w:rPr>
                <w:noProof/>
                <w:webHidden/>
              </w:rPr>
              <w:fldChar w:fldCharType="separate"/>
            </w:r>
            <w:r w:rsidR="00247F48">
              <w:rPr>
                <w:noProof/>
                <w:webHidden/>
              </w:rPr>
              <w:t>22</w:t>
            </w:r>
            <w:r w:rsidR="009B0A88">
              <w:rPr>
                <w:noProof/>
                <w:webHidden/>
              </w:rPr>
              <w:fldChar w:fldCharType="end"/>
            </w:r>
          </w:hyperlink>
        </w:p>
        <w:p w14:paraId="0FEDF58A" w14:textId="6A39D167"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3999" w:history="1">
            <w:r w:rsidR="009B0A88" w:rsidRPr="00FD31CD">
              <w:rPr>
                <w:rStyle w:val="Hyperlink"/>
                <w:noProof/>
              </w:rPr>
              <w:t>a)</w:t>
            </w:r>
            <w:r w:rsidR="009B0A88">
              <w:rPr>
                <w:rFonts w:asciiTheme="minorHAnsi" w:eastAsiaTheme="minorEastAsia" w:hAnsiTheme="minorHAnsi" w:cstheme="minorBidi"/>
                <w:noProof/>
                <w:sz w:val="22"/>
                <w:lang w:eastAsia="en-GB"/>
              </w:rPr>
              <w:tab/>
            </w:r>
            <w:r w:rsidR="009B0A88" w:rsidRPr="00FD31CD">
              <w:rPr>
                <w:rStyle w:val="Hyperlink"/>
                <w:noProof/>
              </w:rPr>
              <w:t>Importance of Taxis</w:t>
            </w:r>
            <w:r w:rsidR="009B0A88">
              <w:rPr>
                <w:noProof/>
                <w:webHidden/>
              </w:rPr>
              <w:tab/>
            </w:r>
            <w:r w:rsidR="009B0A88">
              <w:rPr>
                <w:noProof/>
                <w:webHidden/>
              </w:rPr>
              <w:fldChar w:fldCharType="begin"/>
            </w:r>
            <w:r w:rsidR="009B0A88">
              <w:rPr>
                <w:noProof/>
                <w:webHidden/>
              </w:rPr>
              <w:instrText xml:space="preserve"> PAGEREF _Toc525413999 \h </w:instrText>
            </w:r>
            <w:r w:rsidR="009B0A88">
              <w:rPr>
                <w:noProof/>
                <w:webHidden/>
              </w:rPr>
            </w:r>
            <w:r w:rsidR="009B0A88">
              <w:rPr>
                <w:noProof/>
                <w:webHidden/>
              </w:rPr>
              <w:fldChar w:fldCharType="separate"/>
            </w:r>
            <w:r w:rsidR="00247F48">
              <w:rPr>
                <w:noProof/>
                <w:webHidden/>
              </w:rPr>
              <w:t>22</w:t>
            </w:r>
            <w:r w:rsidR="009B0A88">
              <w:rPr>
                <w:noProof/>
                <w:webHidden/>
              </w:rPr>
              <w:fldChar w:fldCharType="end"/>
            </w:r>
          </w:hyperlink>
        </w:p>
        <w:p w14:paraId="36F15A5E" w14:textId="31016451"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0" w:history="1">
            <w:r w:rsidR="009B0A88" w:rsidRPr="00FD31CD">
              <w:rPr>
                <w:rStyle w:val="Hyperlink"/>
                <w:noProof/>
              </w:rPr>
              <w:t>b)</w:t>
            </w:r>
            <w:r w:rsidR="009B0A88">
              <w:rPr>
                <w:rFonts w:asciiTheme="minorHAnsi" w:eastAsiaTheme="minorEastAsia" w:hAnsiTheme="minorHAnsi" w:cstheme="minorBidi"/>
                <w:noProof/>
                <w:sz w:val="22"/>
                <w:lang w:eastAsia="en-GB"/>
              </w:rPr>
              <w:tab/>
            </w:r>
            <w:r w:rsidR="009B0A88" w:rsidRPr="00FD31CD">
              <w:rPr>
                <w:rStyle w:val="Hyperlink"/>
                <w:noProof/>
              </w:rPr>
              <w:t>S167 take-up</w:t>
            </w:r>
            <w:r w:rsidR="009B0A88">
              <w:rPr>
                <w:noProof/>
                <w:webHidden/>
              </w:rPr>
              <w:tab/>
            </w:r>
            <w:r w:rsidR="009B0A88">
              <w:rPr>
                <w:noProof/>
                <w:webHidden/>
              </w:rPr>
              <w:fldChar w:fldCharType="begin"/>
            </w:r>
            <w:r w:rsidR="009B0A88">
              <w:rPr>
                <w:noProof/>
                <w:webHidden/>
              </w:rPr>
              <w:instrText xml:space="preserve"> PAGEREF _Toc525414000 \h </w:instrText>
            </w:r>
            <w:r w:rsidR="009B0A88">
              <w:rPr>
                <w:noProof/>
                <w:webHidden/>
              </w:rPr>
            </w:r>
            <w:r w:rsidR="009B0A88">
              <w:rPr>
                <w:noProof/>
                <w:webHidden/>
              </w:rPr>
              <w:fldChar w:fldCharType="separate"/>
            </w:r>
            <w:r w:rsidR="00247F48">
              <w:rPr>
                <w:noProof/>
                <w:webHidden/>
              </w:rPr>
              <w:t>22</w:t>
            </w:r>
            <w:r w:rsidR="009B0A88">
              <w:rPr>
                <w:noProof/>
                <w:webHidden/>
              </w:rPr>
              <w:fldChar w:fldCharType="end"/>
            </w:r>
          </w:hyperlink>
        </w:p>
        <w:p w14:paraId="64249A91" w14:textId="43C1851A"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1" w:history="1">
            <w:r w:rsidR="009B0A88" w:rsidRPr="00FD31CD">
              <w:rPr>
                <w:rStyle w:val="Hyperlink"/>
                <w:noProof/>
              </w:rPr>
              <w:t>c)</w:t>
            </w:r>
            <w:r w:rsidR="009B0A88">
              <w:rPr>
                <w:rFonts w:asciiTheme="minorHAnsi" w:eastAsiaTheme="minorEastAsia" w:hAnsiTheme="minorHAnsi" w:cstheme="minorBidi"/>
                <w:noProof/>
                <w:sz w:val="22"/>
                <w:lang w:eastAsia="en-GB"/>
              </w:rPr>
              <w:tab/>
            </w:r>
            <w:r w:rsidR="009B0A88" w:rsidRPr="00FD31CD">
              <w:rPr>
                <w:rStyle w:val="Hyperlink"/>
                <w:noProof/>
              </w:rPr>
              <w:t>Areas with poor provision</w:t>
            </w:r>
            <w:r w:rsidR="009B0A88">
              <w:rPr>
                <w:noProof/>
                <w:webHidden/>
              </w:rPr>
              <w:tab/>
            </w:r>
            <w:r w:rsidR="009B0A88">
              <w:rPr>
                <w:noProof/>
                <w:webHidden/>
              </w:rPr>
              <w:fldChar w:fldCharType="begin"/>
            </w:r>
            <w:r w:rsidR="009B0A88">
              <w:rPr>
                <w:noProof/>
                <w:webHidden/>
              </w:rPr>
              <w:instrText xml:space="preserve"> PAGEREF _Toc525414001 \h </w:instrText>
            </w:r>
            <w:r w:rsidR="009B0A88">
              <w:rPr>
                <w:noProof/>
                <w:webHidden/>
              </w:rPr>
            </w:r>
            <w:r w:rsidR="009B0A88">
              <w:rPr>
                <w:noProof/>
                <w:webHidden/>
              </w:rPr>
              <w:fldChar w:fldCharType="separate"/>
            </w:r>
            <w:r w:rsidR="00247F48">
              <w:rPr>
                <w:noProof/>
                <w:webHidden/>
              </w:rPr>
              <w:t>22</w:t>
            </w:r>
            <w:r w:rsidR="009B0A88">
              <w:rPr>
                <w:noProof/>
                <w:webHidden/>
              </w:rPr>
              <w:fldChar w:fldCharType="end"/>
            </w:r>
          </w:hyperlink>
        </w:p>
        <w:p w14:paraId="6B4AA562" w14:textId="39DD4FDD"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2" w:history="1">
            <w:r w:rsidR="009B0A88" w:rsidRPr="00FD31CD">
              <w:rPr>
                <w:rStyle w:val="Hyperlink"/>
                <w:noProof/>
              </w:rPr>
              <w:t>d)</w:t>
            </w:r>
            <w:r w:rsidR="009B0A88">
              <w:rPr>
                <w:rFonts w:asciiTheme="minorHAnsi" w:eastAsiaTheme="minorEastAsia" w:hAnsiTheme="minorHAnsi" w:cstheme="minorBidi"/>
                <w:noProof/>
                <w:sz w:val="22"/>
                <w:lang w:eastAsia="en-GB"/>
              </w:rPr>
              <w:tab/>
            </w:r>
            <w:r w:rsidR="009B0A88" w:rsidRPr="00FD31CD">
              <w:rPr>
                <w:rStyle w:val="Hyperlink"/>
                <w:noProof/>
              </w:rPr>
              <w:t>Medical exemptions</w:t>
            </w:r>
            <w:r w:rsidR="009B0A88">
              <w:rPr>
                <w:noProof/>
                <w:webHidden/>
              </w:rPr>
              <w:tab/>
            </w:r>
            <w:r w:rsidR="009B0A88">
              <w:rPr>
                <w:noProof/>
                <w:webHidden/>
              </w:rPr>
              <w:fldChar w:fldCharType="begin"/>
            </w:r>
            <w:r w:rsidR="009B0A88">
              <w:rPr>
                <w:noProof/>
                <w:webHidden/>
              </w:rPr>
              <w:instrText xml:space="preserve"> PAGEREF _Toc525414002 \h </w:instrText>
            </w:r>
            <w:r w:rsidR="009B0A88">
              <w:rPr>
                <w:noProof/>
                <w:webHidden/>
              </w:rPr>
            </w:r>
            <w:r w:rsidR="009B0A88">
              <w:rPr>
                <w:noProof/>
                <w:webHidden/>
              </w:rPr>
              <w:fldChar w:fldCharType="separate"/>
            </w:r>
            <w:r w:rsidR="00247F48">
              <w:rPr>
                <w:noProof/>
                <w:webHidden/>
              </w:rPr>
              <w:t>23</w:t>
            </w:r>
            <w:r w:rsidR="009B0A88">
              <w:rPr>
                <w:noProof/>
                <w:webHidden/>
              </w:rPr>
              <w:fldChar w:fldCharType="end"/>
            </w:r>
          </w:hyperlink>
        </w:p>
        <w:p w14:paraId="29B79258" w14:textId="10FB38AE"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3" w:history="1">
            <w:r w:rsidR="009B0A88" w:rsidRPr="00FD31CD">
              <w:rPr>
                <w:rStyle w:val="Hyperlink"/>
                <w:noProof/>
              </w:rPr>
              <w:t>e)</w:t>
            </w:r>
            <w:r w:rsidR="009B0A88">
              <w:rPr>
                <w:rFonts w:asciiTheme="minorHAnsi" w:eastAsiaTheme="minorEastAsia" w:hAnsiTheme="minorHAnsi" w:cstheme="minorBidi"/>
                <w:noProof/>
                <w:sz w:val="22"/>
                <w:lang w:eastAsia="en-GB"/>
              </w:rPr>
              <w:tab/>
            </w:r>
            <w:r w:rsidR="009B0A88" w:rsidRPr="00FD31CD">
              <w:rPr>
                <w:rStyle w:val="Hyperlink"/>
                <w:noProof/>
              </w:rPr>
              <w:t>Compliance with technical specifications</w:t>
            </w:r>
            <w:r w:rsidR="009B0A88">
              <w:rPr>
                <w:noProof/>
                <w:webHidden/>
              </w:rPr>
              <w:tab/>
            </w:r>
            <w:r w:rsidR="009B0A88">
              <w:rPr>
                <w:noProof/>
                <w:webHidden/>
              </w:rPr>
              <w:fldChar w:fldCharType="begin"/>
            </w:r>
            <w:r w:rsidR="009B0A88">
              <w:rPr>
                <w:noProof/>
                <w:webHidden/>
              </w:rPr>
              <w:instrText xml:space="preserve"> PAGEREF _Toc525414003 \h </w:instrText>
            </w:r>
            <w:r w:rsidR="009B0A88">
              <w:rPr>
                <w:noProof/>
                <w:webHidden/>
              </w:rPr>
            </w:r>
            <w:r w:rsidR="009B0A88">
              <w:rPr>
                <w:noProof/>
                <w:webHidden/>
              </w:rPr>
              <w:fldChar w:fldCharType="separate"/>
            </w:r>
            <w:r w:rsidR="00247F48">
              <w:rPr>
                <w:noProof/>
                <w:webHidden/>
              </w:rPr>
              <w:t>23</w:t>
            </w:r>
            <w:r w:rsidR="009B0A88">
              <w:rPr>
                <w:noProof/>
                <w:webHidden/>
              </w:rPr>
              <w:fldChar w:fldCharType="end"/>
            </w:r>
          </w:hyperlink>
        </w:p>
        <w:p w14:paraId="0276099F" w14:textId="4F2118A5"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4" w:history="1">
            <w:r w:rsidR="009B0A88" w:rsidRPr="00FD31CD">
              <w:rPr>
                <w:rStyle w:val="Hyperlink"/>
                <w:noProof/>
              </w:rPr>
              <w:t>f)</w:t>
            </w:r>
            <w:r w:rsidR="009B0A88">
              <w:rPr>
                <w:rFonts w:asciiTheme="minorHAnsi" w:eastAsiaTheme="minorEastAsia" w:hAnsiTheme="minorHAnsi" w:cstheme="minorBidi"/>
                <w:noProof/>
                <w:sz w:val="22"/>
                <w:lang w:eastAsia="en-GB"/>
              </w:rPr>
              <w:tab/>
            </w:r>
            <w:r w:rsidR="009B0A88" w:rsidRPr="00FD31CD">
              <w:rPr>
                <w:rStyle w:val="Hyperlink"/>
                <w:noProof/>
              </w:rPr>
              <w:t>Prosecution for offences</w:t>
            </w:r>
            <w:r w:rsidR="009B0A88">
              <w:rPr>
                <w:noProof/>
                <w:webHidden/>
              </w:rPr>
              <w:tab/>
            </w:r>
            <w:r w:rsidR="009B0A88">
              <w:rPr>
                <w:noProof/>
                <w:webHidden/>
              </w:rPr>
              <w:fldChar w:fldCharType="begin"/>
            </w:r>
            <w:r w:rsidR="009B0A88">
              <w:rPr>
                <w:noProof/>
                <w:webHidden/>
              </w:rPr>
              <w:instrText xml:space="preserve"> PAGEREF _Toc525414004 \h </w:instrText>
            </w:r>
            <w:r w:rsidR="009B0A88">
              <w:rPr>
                <w:noProof/>
                <w:webHidden/>
              </w:rPr>
            </w:r>
            <w:r w:rsidR="009B0A88">
              <w:rPr>
                <w:noProof/>
                <w:webHidden/>
              </w:rPr>
              <w:fldChar w:fldCharType="separate"/>
            </w:r>
            <w:r w:rsidR="00247F48">
              <w:rPr>
                <w:noProof/>
                <w:webHidden/>
              </w:rPr>
              <w:t>23</w:t>
            </w:r>
            <w:r w:rsidR="009B0A88">
              <w:rPr>
                <w:noProof/>
                <w:webHidden/>
              </w:rPr>
              <w:fldChar w:fldCharType="end"/>
            </w:r>
          </w:hyperlink>
        </w:p>
        <w:p w14:paraId="055BCF77" w14:textId="0276D36B"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5" w:history="1">
            <w:r w:rsidR="009B0A88" w:rsidRPr="00FD31CD">
              <w:rPr>
                <w:rStyle w:val="Hyperlink"/>
                <w:noProof/>
              </w:rPr>
              <w:t>g)</w:t>
            </w:r>
            <w:r w:rsidR="009B0A88">
              <w:rPr>
                <w:rFonts w:asciiTheme="minorHAnsi" w:eastAsiaTheme="minorEastAsia" w:hAnsiTheme="minorHAnsi" w:cstheme="minorBidi"/>
                <w:noProof/>
                <w:sz w:val="22"/>
                <w:lang w:eastAsia="en-GB"/>
              </w:rPr>
              <w:tab/>
            </w:r>
            <w:r w:rsidR="009B0A88" w:rsidRPr="00FD31CD">
              <w:rPr>
                <w:rStyle w:val="Hyperlink"/>
                <w:noProof/>
              </w:rPr>
              <w:t>Existing regulation</w:t>
            </w:r>
            <w:r w:rsidR="009B0A88">
              <w:rPr>
                <w:noProof/>
                <w:webHidden/>
              </w:rPr>
              <w:tab/>
            </w:r>
            <w:r w:rsidR="009B0A88">
              <w:rPr>
                <w:noProof/>
                <w:webHidden/>
              </w:rPr>
              <w:fldChar w:fldCharType="begin"/>
            </w:r>
            <w:r w:rsidR="009B0A88">
              <w:rPr>
                <w:noProof/>
                <w:webHidden/>
              </w:rPr>
              <w:instrText xml:space="preserve"> PAGEREF _Toc525414005 \h </w:instrText>
            </w:r>
            <w:r w:rsidR="009B0A88">
              <w:rPr>
                <w:noProof/>
                <w:webHidden/>
              </w:rPr>
            </w:r>
            <w:r w:rsidR="009B0A88">
              <w:rPr>
                <w:noProof/>
                <w:webHidden/>
              </w:rPr>
              <w:fldChar w:fldCharType="separate"/>
            </w:r>
            <w:r w:rsidR="00247F48">
              <w:rPr>
                <w:noProof/>
                <w:webHidden/>
              </w:rPr>
              <w:t>23</w:t>
            </w:r>
            <w:r w:rsidR="009B0A88">
              <w:rPr>
                <w:noProof/>
                <w:webHidden/>
              </w:rPr>
              <w:fldChar w:fldCharType="end"/>
            </w:r>
          </w:hyperlink>
        </w:p>
        <w:p w14:paraId="2E32AC46" w14:textId="50A186B1"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6" w:history="1">
            <w:r w:rsidR="009B0A88" w:rsidRPr="00FD31CD">
              <w:rPr>
                <w:rStyle w:val="Hyperlink"/>
                <w:noProof/>
              </w:rPr>
              <w:t>h)</w:t>
            </w:r>
            <w:r w:rsidR="009B0A88">
              <w:rPr>
                <w:rFonts w:asciiTheme="minorHAnsi" w:eastAsiaTheme="minorEastAsia" w:hAnsiTheme="minorHAnsi" w:cstheme="minorBidi"/>
                <w:noProof/>
                <w:sz w:val="22"/>
                <w:lang w:eastAsia="en-GB"/>
              </w:rPr>
              <w:tab/>
            </w:r>
            <w:r w:rsidR="009B0A88" w:rsidRPr="00FD31CD">
              <w:rPr>
                <w:rStyle w:val="Hyperlink"/>
                <w:noProof/>
              </w:rPr>
              <w:t>Inadequacy of Guidance</w:t>
            </w:r>
            <w:r w:rsidR="009B0A88">
              <w:rPr>
                <w:noProof/>
                <w:webHidden/>
              </w:rPr>
              <w:tab/>
            </w:r>
            <w:r w:rsidR="009B0A88">
              <w:rPr>
                <w:noProof/>
                <w:webHidden/>
              </w:rPr>
              <w:fldChar w:fldCharType="begin"/>
            </w:r>
            <w:r w:rsidR="009B0A88">
              <w:rPr>
                <w:noProof/>
                <w:webHidden/>
              </w:rPr>
              <w:instrText xml:space="preserve"> PAGEREF _Toc525414006 \h </w:instrText>
            </w:r>
            <w:r w:rsidR="009B0A88">
              <w:rPr>
                <w:noProof/>
                <w:webHidden/>
              </w:rPr>
            </w:r>
            <w:r w:rsidR="009B0A88">
              <w:rPr>
                <w:noProof/>
                <w:webHidden/>
              </w:rPr>
              <w:fldChar w:fldCharType="separate"/>
            </w:r>
            <w:r w:rsidR="00247F48">
              <w:rPr>
                <w:noProof/>
                <w:webHidden/>
              </w:rPr>
              <w:t>23</w:t>
            </w:r>
            <w:r w:rsidR="009B0A88">
              <w:rPr>
                <w:noProof/>
                <w:webHidden/>
              </w:rPr>
              <w:fldChar w:fldCharType="end"/>
            </w:r>
          </w:hyperlink>
        </w:p>
        <w:p w14:paraId="6907D20F" w14:textId="5BA212C1"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07" w:history="1">
            <w:r w:rsidR="009B0A88" w:rsidRPr="00FD31CD">
              <w:rPr>
                <w:rStyle w:val="Hyperlink"/>
                <w:noProof/>
              </w:rPr>
              <w:t>i)</w:t>
            </w:r>
            <w:r w:rsidR="009B0A88">
              <w:rPr>
                <w:rFonts w:asciiTheme="minorHAnsi" w:eastAsiaTheme="minorEastAsia" w:hAnsiTheme="minorHAnsi" w:cstheme="minorBidi"/>
                <w:noProof/>
                <w:sz w:val="22"/>
                <w:lang w:eastAsia="en-GB"/>
              </w:rPr>
              <w:tab/>
            </w:r>
            <w:r w:rsidR="009B0A88" w:rsidRPr="00FD31CD">
              <w:rPr>
                <w:rStyle w:val="Hyperlink"/>
                <w:noProof/>
              </w:rPr>
              <w:t>Remedies</w:t>
            </w:r>
            <w:r w:rsidR="009B0A88">
              <w:rPr>
                <w:noProof/>
                <w:webHidden/>
              </w:rPr>
              <w:tab/>
            </w:r>
            <w:r w:rsidR="009B0A88">
              <w:rPr>
                <w:noProof/>
                <w:webHidden/>
              </w:rPr>
              <w:fldChar w:fldCharType="begin"/>
            </w:r>
            <w:r w:rsidR="009B0A88">
              <w:rPr>
                <w:noProof/>
                <w:webHidden/>
              </w:rPr>
              <w:instrText xml:space="preserve"> PAGEREF _Toc525414007 \h </w:instrText>
            </w:r>
            <w:r w:rsidR="009B0A88">
              <w:rPr>
                <w:noProof/>
                <w:webHidden/>
              </w:rPr>
            </w:r>
            <w:r w:rsidR="009B0A88">
              <w:rPr>
                <w:noProof/>
                <w:webHidden/>
              </w:rPr>
              <w:fldChar w:fldCharType="separate"/>
            </w:r>
            <w:r w:rsidR="00247F48">
              <w:rPr>
                <w:noProof/>
                <w:webHidden/>
              </w:rPr>
              <w:t>24</w:t>
            </w:r>
            <w:r w:rsidR="009B0A88">
              <w:rPr>
                <w:noProof/>
                <w:webHidden/>
              </w:rPr>
              <w:fldChar w:fldCharType="end"/>
            </w:r>
          </w:hyperlink>
        </w:p>
        <w:p w14:paraId="6C1275D5" w14:textId="366D9B0F" w:rsidR="009B0A88" w:rsidRDefault="00EC5565">
          <w:pPr>
            <w:pStyle w:val="TOC1"/>
            <w:rPr>
              <w:rFonts w:asciiTheme="minorHAnsi" w:eastAsiaTheme="minorEastAsia" w:hAnsiTheme="minorHAnsi" w:cstheme="minorBidi"/>
              <w:noProof/>
              <w:sz w:val="22"/>
              <w:lang w:eastAsia="en-GB"/>
            </w:rPr>
          </w:pPr>
          <w:hyperlink w:anchor="_Toc525414008" w:history="1">
            <w:r w:rsidR="009B0A88" w:rsidRPr="00FD31CD">
              <w:rPr>
                <w:rStyle w:val="Hyperlink"/>
                <w:noProof/>
              </w:rPr>
              <w:t>7.</w:t>
            </w:r>
            <w:r w:rsidR="009B0A88">
              <w:rPr>
                <w:rFonts w:asciiTheme="minorHAnsi" w:eastAsiaTheme="minorEastAsia" w:hAnsiTheme="minorHAnsi" w:cstheme="minorBidi"/>
                <w:noProof/>
                <w:sz w:val="22"/>
                <w:lang w:eastAsia="en-GB"/>
              </w:rPr>
              <w:tab/>
            </w:r>
            <w:r w:rsidR="009B0A88" w:rsidRPr="00FD31CD">
              <w:rPr>
                <w:rStyle w:val="Hyperlink"/>
                <w:noProof/>
              </w:rPr>
              <w:t>Conclusion</w:t>
            </w:r>
            <w:r w:rsidR="009B0A88">
              <w:rPr>
                <w:noProof/>
                <w:webHidden/>
              </w:rPr>
              <w:tab/>
            </w:r>
            <w:r w:rsidR="009B0A88">
              <w:rPr>
                <w:noProof/>
                <w:webHidden/>
              </w:rPr>
              <w:fldChar w:fldCharType="begin"/>
            </w:r>
            <w:r w:rsidR="009B0A88">
              <w:rPr>
                <w:noProof/>
                <w:webHidden/>
              </w:rPr>
              <w:instrText xml:space="preserve"> PAGEREF _Toc525414008 \h </w:instrText>
            </w:r>
            <w:r w:rsidR="009B0A88">
              <w:rPr>
                <w:noProof/>
                <w:webHidden/>
              </w:rPr>
            </w:r>
            <w:r w:rsidR="009B0A88">
              <w:rPr>
                <w:noProof/>
                <w:webHidden/>
              </w:rPr>
              <w:fldChar w:fldCharType="separate"/>
            </w:r>
            <w:r w:rsidR="00247F48">
              <w:rPr>
                <w:noProof/>
                <w:webHidden/>
              </w:rPr>
              <w:t>25</w:t>
            </w:r>
            <w:r w:rsidR="009B0A88">
              <w:rPr>
                <w:noProof/>
                <w:webHidden/>
              </w:rPr>
              <w:fldChar w:fldCharType="end"/>
            </w:r>
          </w:hyperlink>
        </w:p>
        <w:p w14:paraId="1B3F4F96" w14:textId="7AD5E465" w:rsidR="009B0A88" w:rsidRDefault="00EC5565">
          <w:pPr>
            <w:pStyle w:val="TOC1"/>
            <w:rPr>
              <w:rFonts w:asciiTheme="minorHAnsi" w:eastAsiaTheme="minorEastAsia" w:hAnsiTheme="minorHAnsi" w:cstheme="minorBidi"/>
              <w:noProof/>
              <w:sz w:val="22"/>
              <w:lang w:eastAsia="en-GB"/>
            </w:rPr>
          </w:pPr>
          <w:hyperlink w:anchor="_Toc525414009" w:history="1">
            <w:r w:rsidR="009B0A88" w:rsidRPr="00FD31CD">
              <w:rPr>
                <w:rStyle w:val="Hyperlink"/>
                <w:noProof/>
              </w:rPr>
              <w:t>8.</w:t>
            </w:r>
            <w:r w:rsidR="009B0A88">
              <w:rPr>
                <w:rFonts w:asciiTheme="minorHAnsi" w:eastAsiaTheme="minorEastAsia" w:hAnsiTheme="minorHAnsi" w:cstheme="minorBidi"/>
                <w:noProof/>
                <w:sz w:val="22"/>
                <w:lang w:eastAsia="en-GB"/>
              </w:rPr>
              <w:tab/>
            </w:r>
            <w:r w:rsidR="009B0A88" w:rsidRPr="00FD31CD">
              <w:rPr>
                <w:rStyle w:val="Hyperlink"/>
                <w:noProof/>
              </w:rPr>
              <w:t>Recommendations</w:t>
            </w:r>
            <w:r w:rsidR="009B0A88">
              <w:rPr>
                <w:noProof/>
                <w:webHidden/>
              </w:rPr>
              <w:tab/>
            </w:r>
            <w:r w:rsidR="009B0A88">
              <w:rPr>
                <w:noProof/>
                <w:webHidden/>
              </w:rPr>
              <w:fldChar w:fldCharType="begin"/>
            </w:r>
            <w:r w:rsidR="009B0A88">
              <w:rPr>
                <w:noProof/>
                <w:webHidden/>
              </w:rPr>
              <w:instrText xml:space="preserve"> PAGEREF _Toc525414009 \h </w:instrText>
            </w:r>
            <w:r w:rsidR="009B0A88">
              <w:rPr>
                <w:noProof/>
                <w:webHidden/>
              </w:rPr>
            </w:r>
            <w:r w:rsidR="009B0A88">
              <w:rPr>
                <w:noProof/>
                <w:webHidden/>
              </w:rPr>
              <w:fldChar w:fldCharType="separate"/>
            </w:r>
            <w:r w:rsidR="00247F48">
              <w:rPr>
                <w:noProof/>
                <w:webHidden/>
              </w:rPr>
              <w:t>26</w:t>
            </w:r>
            <w:r w:rsidR="009B0A88">
              <w:rPr>
                <w:noProof/>
                <w:webHidden/>
              </w:rPr>
              <w:fldChar w:fldCharType="end"/>
            </w:r>
          </w:hyperlink>
        </w:p>
        <w:p w14:paraId="66DCF3D9" w14:textId="1816882F"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10" w:history="1">
            <w:r w:rsidR="009B0A88" w:rsidRPr="00FD31CD">
              <w:rPr>
                <w:rStyle w:val="Hyperlink"/>
                <w:noProof/>
              </w:rPr>
              <w:t>a)</w:t>
            </w:r>
            <w:r w:rsidR="009B0A88">
              <w:rPr>
                <w:rFonts w:asciiTheme="minorHAnsi" w:eastAsiaTheme="minorEastAsia" w:hAnsiTheme="minorHAnsi" w:cstheme="minorBidi"/>
                <w:noProof/>
                <w:sz w:val="22"/>
                <w:lang w:eastAsia="en-GB"/>
              </w:rPr>
              <w:tab/>
            </w:r>
            <w:r w:rsidR="009B0A88" w:rsidRPr="00FD31CD">
              <w:rPr>
                <w:rStyle w:val="Hyperlink"/>
                <w:noProof/>
              </w:rPr>
              <w:t>To the Department for Transport</w:t>
            </w:r>
            <w:r w:rsidR="009B0A88">
              <w:rPr>
                <w:noProof/>
                <w:webHidden/>
              </w:rPr>
              <w:tab/>
            </w:r>
            <w:r w:rsidR="009B0A88">
              <w:rPr>
                <w:noProof/>
                <w:webHidden/>
              </w:rPr>
              <w:fldChar w:fldCharType="begin"/>
            </w:r>
            <w:r w:rsidR="009B0A88">
              <w:rPr>
                <w:noProof/>
                <w:webHidden/>
              </w:rPr>
              <w:instrText xml:space="preserve"> PAGEREF _Toc525414010 \h </w:instrText>
            </w:r>
            <w:r w:rsidR="009B0A88">
              <w:rPr>
                <w:noProof/>
                <w:webHidden/>
              </w:rPr>
            </w:r>
            <w:r w:rsidR="009B0A88">
              <w:rPr>
                <w:noProof/>
                <w:webHidden/>
              </w:rPr>
              <w:fldChar w:fldCharType="separate"/>
            </w:r>
            <w:r w:rsidR="00247F48">
              <w:rPr>
                <w:noProof/>
                <w:webHidden/>
              </w:rPr>
              <w:t>26</w:t>
            </w:r>
            <w:r w:rsidR="009B0A88">
              <w:rPr>
                <w:noProof/>
                <w:webHidden/>
              </w:rPr>
              <w:fldChar w:fldCharType="end"/>
            </w:r>
          </w:hyperlink>
        </w:p>
        <w:p w14:paraId="4583BB2D" w14:textId="64AEB47A"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11" w:history="1">
            <w:r w:rsidR="009B0A88" w:rsidRPr="00FD31CD">
              <w:rPr>
                <w:rStyle w:val="Hyperlink"/>
                <w:noProof/>
              </w:rPr>
              <w:t>b)</w:t>
            </w:r>
            <w:r w:rsidR="009B0A88">
              <w:rPr>
                <w:rFonts w:asciiTheme="minorHAnsi" w:eastAsiaTheme="minorEastAsia" w:hAnsiTheme="minorHAnsi" w:cstheme="minorBidi"/>
                <w:noProof/>
                <w:sz w:val="22"/>
                <w:lang w:eastAsia="en-GB"/>
              </w:rPr>
              <w:tab/>
            </w:r>
            <w:r w:rsidR="009B0A88" w:rsidRPr="00FD31CD">
              <w:rPr>
                <w:rStyle w:val="Hyperlink"/>
                <w:noProof/>
              </w:rPr>
              <w:t>To Local Authorities and TFL</w:t>
            </w:r>
            <w:r w:rsidR="009B0A88">
              <w:rPr>
                <w:noProof/>
                <w:webHidden/>
              </w:rPr>
              <w:tab/>
            </w:r>
            <w:r w:rsidR="009B0A88">
              <w:rPr>
                <w:noProof/>
                <w:webHidden/>
              </w:rPr>
              <w:fldChar w:fldCharType="begin"/>
            </w:r>
            <w:r w:rsidR="009B0A88">
              <w:rPr>
                <w:noProof/>
                <w:webHidden/>
              </w:rPr>
              <w:instrText xml:space="preserve"> PAGEREF _Toc525414011 \h </w:instrText>
            </w:r>
            <w:r w:rsidR="009B0A88">
              <w:rPr>
                <w:noProof/>
                <w:webHidden/>
              </w:rPr>
            </w:r>
            <w:r w:rsidR="009B0A88">
              <w:rPr>
                <w:noProof/>
                <w:webHidden/>
              </w:rPr>
              <w:fldChar w:fldCharType="separate"/>
            </w:r>
            <w:r w:rsidR="00247F48">
              <w:rPr>
                <w:noProof/>
                <w:webHidden/>
              </w:rPr>
              <w:t>26</w:t>
            </w:r>
            <w:r w:rsidR="009B0A88">
              <w:rPr>
                <w:noProof/>
                <w:webHidden/>
              </w:rPr>
              <w:fldChar w:fldCharType="end"/>
            </w:r>
          </w:hyperlink>
        </w:p>
        <w:p w14:paraId="69B0840A" w14:textId="6C6037D1" w:rsidR="009B0A88" w:rsidRDefault="00EC5565">
          <w:pPr>
            <w:pStyle w:val="TOC2"/>
            <w:tabs>
              <w:tab w:val="left" w:pos="720"/>
              <w:tab w:val="right" w:leader="dot" w:pos="9017"/>
            </w:tabs>
            <w:rPr>
              <w:rFonts w:asciiTheme="minorHAnsi" w:eastAsiaTheme="minorEastAsia" w:hAnsiTheme="minorHAnsi" w:cstheme="minorBidi"/>
              <w:noProof/>
              <w:sz w:val="22"/>
              <w:lang w:eastAsia="en-GB"/>
            </w:rPr>
          </w:pPr>
          <w:hyperlink w:anchor="_Toc525414012" w:history="1">
            <w:r w:rsidR="009B0A88" w:rsidRPr="00FD31CD">
              <w:rPr>
                <w:rStyle w:val="Hyperlink"/>
                <w:noProof/>
              </w:rPr>
              <w:t>c)</w:t>
            </w:r>
            <w:r w:rsidR="009B0A88">
              <w:rPr>
                <w:rFonts w:asciiTheme="minorHAnsi" w:eastAsiaTheme="minorEastAsia" w:hAnsiTheme="minorHAnsi" w:cstheme="minorBidi"/>
                <w:noProof/>
                <w:sz w:val="22"/>
                <w:lang w:eastAsia="en-GB"/>
              </w:rPr>
              <w:tab/>
            </w:r>
            <w:r w:rsidR="009B0A88" w:rsidRPr="00FD31CD">
              <w:rPr>
                <w:rStyle w:val="Hyperlink"/>
                <w:noProof/>
              </w:rPr>
              <w:t>To disabled people, disabled people’s organisations and allies</w:t>
            </w:r>
            <w:r w:rsidR="009B0A88">
              <w:rPr>
                <w:noProof/>
                <w:webHidden/>
              </w:rPr>
              <w:tab/>
            </w:r>
            <w:r w:rsidR="009B0A88">
              <w:rPr>
                <w:noProof/>
                <w:webHidden/>
              </w:rPr>
              <w:fldChar w:fldCharType="begin"/>
            </w:r>
            <w:r w:rsidR="009B0A88">
              <w:rPr>
                <w:noProof/>
                <w:webHidden/>
              </w:rPr>
              <w:instrText xml:space="preserve"> PAGEREF _Toc525414012 \h </w:instrText>
            </w:r>
            <w:r w:rsidR="009B0A88">
              <w:rPr>
                <w:noProof/>
                <w:webHidden/>
              </w:rPr>
            </w:r>
            <w:r w:rsidR="009B0A88">
              <w:rPr>
                <w:noProof/>
                <w:webHidden/>
              </w:rPr>
              <w:fldChar w:fldCharType="separate"/>
            </w:r>
            <w:r w:rsidR="00247F48">
              <w:rPr>
                <w:noProof/>
                <w:webHidden/>
              </w:rPr>
              <w:t>26</w:t>
            </w:r>
            <w:r w:rsidR="009B0A88">
              <w:rPr>
                <w:noProof/>
                <w:webHidden/>
              </w:rPr>
              <w:fldChar w:fldCharType="end"/>
            </w:r>
          </w:hyperlink>
        </w:p>
        <w:p w14:paraId="33C6538B" w14:textId="367548A2" w:rsidR="009B0A88" w:rsidRDefault="00EC5565">
          <w:pPr>
            <w:pStyle w:val="TOC1"/>
            <w:rPr>
              <w:rFonts w:asciiTheme="minorHAnsi" w:eastAsiaTheme="minorEastAsia" w:hAnsiTheme="minorHAnsi" w:cstheme="minorBidi"/>
              <w:noProof/>
              <w:sz w:val="22"/>
              <w:lang w:eastAsia="en-GB"/>
            </w:rPr>
          </w:pPr>
          <w:hyperlink w:anchor="_Toc525414013" w:history="1">
            <w:r w:rsidR="009B0A88" w:rsidRPr="00FD31CD">
              <w:rPr>
                <w:rStyle w:val="Hyperlink"/>
                <w:noProof/>
              </w:rPr>
              <w:t>9.</w:t>
            </w:r>
            <w:r w:rsidR="009B0A88">
              <w:rPr>
                <w:rFonts w:asciiTheme="minorHAnsi" w:eastAsiaTheme="minorEastAsia" w:hAnsiTheme="minorHAnsi" w:cstheme="minorBidi"/>
                <w:noProof/>
                <w:sz w:val="22"/>
                <w:lang w:eastAsia="en-GB"/>
              </w:rPr>
              <w:tab/>
            </w:r>
            <w:r w:rsidR="009B0A88" w:rsidRPr="00FD31CD">
              <w:rPr>
                <w:rStyle w:val="Hyperlink"/>
                <w:noProof/>
              </w:rPr>
              <w:t>Appendices</w:t>
            </w:r>
            <w:r w:rsidR="009B0A88">
              <w:rPr>
                <w:noProof/>
                <w:webHidden/>
              </w:rPr>
              <w:tab/>
            </w:r>
            <w:r w:rsidR="009B0A88">
              <w:rPr>
                <w:noProof/>
                <w:webHidden/>
              </w:rPr>
              <w:fldChar w:fldCharType="begin"/>
            </w:r>
            <w:r w:rsidR="009B0A88">
              <w:rPr>
                <w:noProof/>
                <w:webHidden/>
              </w:rPr>
              <w:instrText xml:space="preserve"> PAGEREF _Toc525414013 \h </w:instrText>
            </w:r>
            <w:r w:rsidR="009B0A88">
              <w:rPr>
                <w:noProof/>
                <w:webHidden/>
              </w:rPr>
            </w:r>
            <w:r w:rsidR="009B0A88">
              <w:rPr>
                <w:noProof/>
                <w:webHidden/>
              </w:rPr>
              <w:fldChar w:fldCharType="separate"/>
            </w:r>
            <w:r w:rsidR="00247F48">
              <w:rPr>
                <w:noProof/>
                <w:webHidden/>
              </w:rPr>
              <w:t>27</w:t>
            </w:r>
            <w:r w:rsidR="009B0A88">
              <w:rPr>
                <w:noProof/>
                <w:webHidden/>
              </w:rPr>
              <w:fldChar w:fldCharType="end"/>
            </w:r>
          </w:hyperlink>
        </w:p>
        <w:p w14:paraId="5A7FC227" w14:textId="0AEF1C7C" w:rsidR="009B0A88" w:rsidRDefault="00EC5565">
          <w:pPr>
            <w:pStyle w:val="TOC2"/>
            <w:tabs>
              <w:tab w:val="right" w:leader="dot" w:pos="9017"/>
            </w:tabs>
            <w:rPr>
              <w:rFonts w:asciiTheme="minorHAnsi" w:eastAsiaTheme="minorEastAsia" w:hAnsiTheme="minorHAnsi" w:cstheme="minorBidi"/>
              <w:noProof/>
              <w:sz w:val="22"/>
              <w:lang w:eastAsia="en-GB"/>
            </w:rPr>
          </w:pPr>
          <w:hyperlink w:anchor="_Toc525414014" w:history="1">
            <w:r w:rsidR="009B0A88" w:rsidRPr="00FD31CD">
              <w:rPr>
                <w:rStyle w:val="Hyperlink"/>
                <w:noProof/>
              </w:rPr>
              <w:t>Appendix 1 – Freedom of Information request sent to each authority</w:t>
            </w:r>
            <w:r w:rsidR="009B0A88">
              <w:rPr>
                <w:noProof/>
                <w:webHidden/>
              </w:rPr>
              <w:tab/>
            </w:r>
            <w:r w:rsidR="009B0A88">
              <w:rPr>
                <w:noProof/>
                <w:webHidden/>
              </w:rPr>
              <w:fldChar w:fldCharType="begin"/>
            </w:r>
            <w:r w:rsidR="009B0A88">
              <w:rPr>
                <w:noProof/>
                <w:webHidden/>
              </w:rPr>
              <w:instrText xml:space="preserve"> PAGEREF _Toc525414014 \h </w:instrText>
            </w:r>
            <w:r w:rsidR="009B0A88">
              <w:rPr>
                <w:noProof/>
                <w:webHidden/>
              </w:rPr>
            </w:r>
            <w:r w:rsidR="009B0A88">
              <w:rPr>
                <w:noProof/>
                <w:webHidden/>
              </w:rPr>
              <w:fldChar w:fldCharType="separate"/>
            </w:r>
            <w:r w:rsidR="00247F48">
              <w:rPr>
                <w:noProof/>
                <w:webHidden/>
              </w:rPr>
              <w:t>27</w:t>
            </w:r>
            <w:r w:rsidR="009B0A88">
              <w:rPr>
                <w:noProof/>
                <w:webHidden/>
              </w:rPr>
              <w:fldChar w:fldCharType="end"/>
            </w:r>
          </w:hyperlink>
        </w:p>
        <w:p w14:paraId="72483705" w14:textId="1C186489" w:rsidR="009B0A88" w:rsidRDefault="00EC5565">
          <w:pPr>
            <w:pStyle w:val="TOC2"/>
            <w:tabs>
              <w:tab w:val="right" w:leader="dot" w:pos="9017"/>
            </w:tabs>
            <w:rPr>
              <w:rFonts w:asciiTheme="minorHAnsi" w:eastAsiaTheme="minorEastAsia" w:hAnsiTheme="minorHAnsi" w:cstheme="minorBidi"/>
              <w:noProof/>
              <w:sz w:val="22"/>
              <w:lang w:eastAsia="en-GB"/>
            </w:rPr>
          </w:pPr>
          <w:hyperlink w:anchor="_Toc525414015" w:history="1">
            <w:r w:rsidR="009B0A88" w:rsidRPr="00FD31CD">
              <w:rPr>
                <w:rStyle w:val="Hyperlink"/>
                <w:noProof/>
              </w:rPr>
              <w:t>Appendix 2: Acknowledgements</w:t>
            </w:r>
            <w:r w:rsidR="009B0A88">
              <w:rPr>
                <w:noProof/>
                <w:webHidden/>
              </w:rPr>
              <w:tab/>
            </w:r>
            <w:r w:rsidR="009B0A88">
              <w:rPr>
                <w:noProof/>
                <w:webHidden/>
              </w:rPr>
              <w:fldChar w:fldCharType="begin"/>
            </w:r>
            <w:r w:rsidR="009B0A88">
              <w:rPr>
                <w:noProof/>
                <w:webHidden/>
              </w:rPr>
              <w:instrText xml:space="preserve"> PAGEREF _Toc525414015 \h </w:instrText>
            </w:r>
            <w:r w:rsidR="009B0A88">
              <w:rPr>
                <w:noProof/>
                <w:webHidden/>
              </w:rPr>
            </w:r>
            <w:r w:rsidR="009B0A88">
              <w:rPr>
                <w:noProof/>
                <w:webHidden/>
              </w:rPr>
              <w:fldChar w:fldCharType="separate"/>
            </w:r>
            <w:r w:rsidR="00247F48">
              <w:rPr>
                <w:noProof/>
                <w:webHidden/>
              </w:rPr>
              <w:t>31</w:t>
            </w:r>
            <w:r w:rsidR="009B0A88">
              <w:rPr>
                <w:noProof/>
                <w:webHidden/>
              </w:rPr>
              <w:fldChar w:fldCharType="end"/>
            </w:r>
          </w:hyperlink>
        </w:p>
        <w:p w14:paraId="5773A763" w14:textId="12C84B58" w:rsidR="009B0A88" w:rsidRDefault="00EC5565">
          <w:pPr>
            <w:pStyle w:val="TOC2"/>
            <w:tabs>
              <w:tab w:val="right" w:leader="dot" w:pos="9017"/>
            </w:tabs>
            <w:rPr>
              <w:rFonts w:asciiTheme="minorHAnsi" w:eastAsiaTheme="minorEastAsia" w:hAnsiTheme="minorHAnsi" w:cstheme="minorBidi"/>
              <w:noProof/>
              <w:sz w:val="22"/>
              <w:lang w:eastAsia="en-GB"/>
            </w:rPr>
          </w:pPr>
          <w:hyperlink w:anchor="_Toc525414016" w:history="1">
            <w:r w:rsidR="009B0A88" w:rsidRPr="00FD31CD">
              <w:rPr>
                <w:rStyle w:val="Hyperlink"/>
                <w:noProof/>
              </w:rPr>
              <w:t>Appendix 3: Licensing</w:t>
            </w:r>
            <w:r w:rsidR="009B0A88">
              <w:rPr>
                <w:noProof/>
                <w:webHidden/>
              </w:rPr>
              <w:tab/>
            </w:r>
            <w:r w:rsidR="009B0A88">
              <w:rPr>
                <w:noProof/>
                <w:webHidden/>
              </w:rPr>
              <w:fldChar w:fldCharType="begin"/>
            </w:r>
            <w:r w:rsidR="009B0A88">
              <w:rPr>
                <w:noProof/>
                <w:webHidden/>
              </w:rPr>
              <w:instrText xml:space="preserve"> PAGEREF _Toc525414016 \h </w:instrText>
            </w:r>
            <w:r w:rsidR="009B0A88">
              <w:rPr>
                <w:noProof/>
                <w:webHidden/>
              </w:rPr>
            </w:r>
            <w:r w:rsidR="009B0A88">
              <w:rPr>
                <w:noProof/>
                <w:webHidden/>
              </w:rPr>
              <w:fldChar w:fldCharType="separate"/>
            </w:r>
            <w:r w:rsidR="00247F48">
              <w:rPr>
                <w:noProof/>
                <w:webHidden/>
              </w:rPr>
              <w:t>31</w:t>
            </w:r>
            <w:r w:rsidR="009B0A88">
              <w:rPr>
                <w:noProof/>
                <w:webHidden/>
              </w:rPr>
              <w:fldChar w:fldCharType="end"/>
            </w:r>
          </w:hyperlink>
        </w:p>
        <w:p w14:paraId="0AE96273" w14:textId="61BEDFB8" w:rsidR="009B0A88" w:rsidRDefault="00EC5565">
          <w:pPr>
            <w:pStyle w:val="TOC2"/>
            <w:tabs>
              <w:tab w:val="right" w:leader="dot" w:pos="9017"/>
            </w:tabs>
            <w:rPr>
              <w:rFonts w:asciiTheme="minorHAnsi" w:eastAsiaTheme="minorEastAsia" w:hAnsiTheme="minorHAnsi" w:cstheme="minorBidi"/>
              <w:noProof/>
              <w:sz w:val="22"/>
              <w:lang w:eastAsia="en-GB"/>
            </w:rPr>
          </w:pPr>
          <w:hyperlink w:anchor="_Toc525414017" w:history="1">
            <w:r w:rsidR="009B0A88" w:rsidRPr="00FD31CD">
              <w:rPr>
                <w:rStyle w:val="Hyperlink"/>
                <w:noProof/>
              </w:rPr>
              <w:t>Appendix 4: Lists of Tables, Figures and Maps</w:t>
            </w:r>
            <w:r w:rsidR="009B0A88">
              <w:rPr>
                <w:noProof/>
                <w:webHidden/>
              </w:rPr>
              <w:tab/>
            </w:r>
            <w:r w:rsidR="009B0A88">
              <w:rPr>
                <w:noProof/>
                <w:webHidden/>
              </w:rPr>
              <w:fldChar w:fldCharType="begin"/>
            </w:r>
            <w:r w:rsidR="009B0A88">
              <w:rPr>
                <w:noProof/>
                <w:webHidden/>
              </w:rPr>
              <w:instrText xml:space="preserve"> PAGEREF _Toc525414017 \h </w:instrText>
            </w:r>
            <w:r w:rsidR="009B0A88">
              <w:rPr>
                <w:noProof/>
                <w:webHidden/>
              </w:rPr>
            </w:r>
            <w:r w:rsidR="009B0A88">
              <w:rPr>
                <w:noProof/>
                <w:webHidden/>
              </w:rPr>
              <w:fldChar w:fldCharType="separate"/>
            </w:r>
            <w:r w:rsidR="00247F48">
              <w:rPr>
                <w:noProof/>
                <w:webHidden/>
              </w:rPr>
              <w:t>32</w:t>
            </w:r>
            <w:r w:rsidR="009B0A88">
              <w:rPr>
                <w:noProof/>
                <w:webHidden/>
              </w:rPr>
              <w:fldChar w:fldCharType="end"/>
            </w:r>
          </w:hyperlink>
        </w:p>
        <w:p w14:paraId="36729551" w14:textId="04F0CC25"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4018" w:history="1">
            <w:r w:rsidR="009B0A88" w:rsidRPr="00FD31CD">
              <w:rPr>
                <w:rStyle w:val="Hyperlink"/>
                <w:noProof/>
              </w:rPr>
              <w:t>Tables</w:t>
            </w:r>
            <w:r w:rsidR="009B0A88">
              <w:rPr>
                <w:noProof/>
                <w:webHidden/>
              </w:rPr>
              <w:tab/>
            </w:r>
            <w:r w:rsidR="009B0A88">
              <w:rPr>
                <w:noProof/>
                <w:webHidden/>
              </w:rPr>
              <w:fldChar w:fldCharType="begin"/>
            </w:r>
            <w:r w:rsidR="009B0A88">
              <w:rPr>
                <w:noProof/>
                <w:webHidden/>
              </w:rPr>
              <w:instrText xml:space="preserve"> PAGEREF _Toc525414018 \h </w:instrText>
            </w:r>
            <w:r w:rsidR="009B0A88">
              <w:rPr>
                <w:noProof/>
                <w:webHidden/>
              </w:rPr>
            </w:r>
            <w:r w:rsidR="009B0A88">
              <w:rPr>
                <w:noProof/>
                <w:webHidden/>
              </w:rPr>
              <w:fldChar w:fldCharType="separate"/>
            </w:r>
            <w:r w:rsidR="00247F48">
              <w:rPr>
                <w:noProof/>
                <w:webHidden/>
              </w:rPr>
              <w:t>32</w:t>
            </w:r>
            <w:r w:rsidR="009B0A88">
              <w:rPr>
                <w:noProof/>
                <w:webHidden/>
              </w:rPr>
              <w:fldChar w:fldCharType="end"/>
            </w:r>
          </w:hyperlink>
        </w:p>
        <w:p w14:paraId="64D71F76" w14:textId="016BBE27"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4019" w:history="1">
            <w:r w:rsidR="009B0A88" w:rsidRPr="00FD31CD">
              <w:rPr>
                <w:rStyle w:val="Hyperlink"/>
                <w:noProof/>
              </w:rPr>
              <w:t>Figures</w:t>
            </w:r>
            <w:r w:rsidR="009B0A88">
              <w:rPr>
                <w:noProof/>
                <w:webHidden/>
              </w:rPr>
              <w:tab/>
            </w:r>
            <w:r w:rsidR="009B0A88">
              <w:rPr>
                <w:noProof/>
                <w:webHidden/>
              </w:rPr>
              <w:fldChar w:fldCharType="begin"/>
            </w:r>
            <w:r w:rsidR="009B0A88">
              <w:rPr>
                <w:noProof/>
                <w:webHidden/>
              </w:rPr>
              <w:instrText xml:space="preserve"> PAGEREF _Toc525414019 \h </w:instrText>
            </w:r>
            <w:r w:rsidR="009B0A88">
              <w:rPr>
                <w:noProof/>
                <w:webHidden/>
              </w:rPr>
            </w:r>
            <w:r w:rsidR="009B0A88">
              <w:rPr>
                <w:noProof/>
                <w:webHidden/>
              </w:rPr>
              <w:fldChar w:fldCharType="separate"/>
            </w:r>
            <w:r w:rsidR="00247F48">
              <w:rPr>
                <w:noProof/>
                <w:webHidden/>
              </w:rPr>
              <w:t>32</w:t>
            </w:r>
            <w:r w:rsidR="009B0A88">
              <w:rPr>
                <w:noProof/>
                <w:webHidden/>
              </w:rPr>
              <w:fldChar w:fldCharType="end"/>
            </w:r>
          </w:hyperlink>
        </w:p>
        <w:p w14:paraId="2BDEE64F" w14:textId="19E41554" w:rsidR="009B0A88" w:rsidRDefault="00EC5565">
          <w:pPr>
            <w:pStyle w:val="TOC3"/>
            <w:tabs>
              <w:tab w:val="right" w:leader="dot" w:pos="9017"/>
            </w:tabs>
            <w:rPr>
              <w:rFonts w:asciiTheme="minorHAnsi" w:eastAsiaTheme="minorEastAsia" w:hAnsiTheme="minorHAnsi" w:cstheme="minorBidi"/>
              <w:noProof/>
              <w:sz w:val="22"/>
              <w:lang w:eastAsia="en-GB"/>
            </w:rPr>
          </w:pPr>
          <w:hyperlink w:anchor="_Toc525414020" w:history="1">
            <w:r w:rsidR="009B0A88" w:rsidRPr="00FD31CD">
              <w:rPr>
                <w:rStyle w:val="Hyperlink"/>
                <w:noProof/>
              </w:rPr>
              <w:t>Maps</w:t>
            </w:r>
            <w:r w:rsidR="009B0A88">
              <w:rPr>
                <w:noProof/>
                <w:webHidden/>
              </w:rPr>
              <w:tab/>
            </w:r>
            <w:r w:rsidR="009B0A88">
              <w:rPr>
                <w:noProof/>
                <w:webHidden/>
              </w:rPr>
              <w:fldChar w:fldCharType="begin"/>
            </w:r>
            <w:r w:rsidR="009B0A88">
              <w:rPr>
                <w:noProof/>
                <w:webHidden/>
              </w:rPr>
              <w:instrText xml:space="preserve"> PAGEREF _Toc525414020 \h </w:instrText>
            </w:r>
            <w:r w:rsidR="009B0A88">
              <w:rPr>
                <w:noProof/>
                <w:webHidden/>
              </w:rPr>
            </w:r>
            <w:r w:rsidR="009B0A88">
              <w:rPr>
                <w:noProof/>
                <w:webHidden/>
              </w:rPr>
              <w:fldChar w:fldCharType="separate"/>
            </w:r>
            <w:r w:rsidR="00247F48">
              <w:rPr>
                <w:noProof/>
                <w:webHidden/>
              </w:rPr>
              <w:t>32</w:t>
            </w:r>
            <w:r w:rsidR="009B0A88">
              <w:rPr>
                <w:noProof/>
                <w:webHidden/>
              </w:rPr>
              <w:fldChar w:fldCharType="end"/>
            </w:r>
          </w:hyperlink>
        </w:p>
        <w:p w14:paraId="21362284" w14:textId="1795AAF6" w:rsidR="009B0A88" w:rsidRDefault="00EC5565">
          <w:pPr>
            <w:pStyle w:val="TOC2"/>
            <w:tabs>
              <w:tab w:val="right" w:leader="dot" w:pos="9017"/>
            </w:tabs>
            <w:rPr>
              <w:rFonts w:asciiTheme="minorHAnsi" w:eastAsiaTheme="minorEastAsia" w:hAnsiTheme="minorHAnsi" w:cstheme="minorBidi"/>
              <w:noProof/>
              <w:sz w:val="22"/>
              <w:lang w:eastAsia="en-GB"/>
            </w:rPr>
          </w:pPr>
          <w:hyperlink w:anchor="_Toc525414021" w:history="1">
            <w:r w:rsidR="009B0A88" w:rsidRPr="00FD31CD">
              <w:rPr>
                <w:rStyle w:val="Hyperlink"/>
                <w:noProof/>
              </w:rPr>
              <w:t>Appendix 5: References</w:t>
            </w:r>
            <w:r w:rsidR="009B0A88">
              <w:rPr>
                <w:noProof/>
                <w:webHidden/>
              </w:rPr>
              <w:tab/>
            </w:r>
            <w:r w:rsidR="009B0A88">
              <w:rPr>
                <w:noProof/>
                <w:webHidden/>
              </w:rPr>
              <w:fldChar w:fldCharType="begin"/>
            </w:r>
            <w:r w:rsidR="009B0A88">
              <w:rPr>
                <w:noProof/>
                <w:webHidden/>
              </w:rPr>
              <w:instrText xml:space="preserve"> PAGEREF _Toc525414021 \h </w:instrText>
            </w:r>
            <w:r w:rsidR="009B0A88">
              <w:rPr>
                <w:noProof/>
                <w:webHidden/>
              </w:rPr>
            </w:r>
            <w:r w:rsidR="009B0A88">
              <w:rPr>
                <w:noProof/>
                <w:webHidden/>
              </w:rPr>
              <w:fldChar w:fldCharType="separate"/>
            </w:r>
            <w:r w:rsidR="00247F48">
              <w:rPr>
                <w:noProof/>
                <w:webHidden/>
              </w:rPr>
              <w:t>33</w:t>
            </w:r>
            <w:r w:rsidR="009B0A88">
              <w:rPr>
                <w:noProof/>
                <w:webHidden/>
              </w:rPr>
              <w:fldChar w:fldCharType="end"/>
            </w:r>
          </w:hyperlink>
        </w:p>
        <w:p w14:paraId="1A91261B" w14:textId="4CC4D360" w:rsidR="002D0EE3" w:rsidRDefault="002D0EE3" w:rsidP="002D0EE3">
          <w:pPr>
            <w:spacing w:line="240" w:lineRule="auto"/>
          </w:pPr>
          <w:r>
            <w:rPr>
              <w:b/>
              <w:bCs/>
              <w:noProof/>
            </w:rPr>
            <w:fldChar w:fldCharType="end"/>
          </w:r>
        </w:p>
      </w:sdtContent>
    </w:sdt>
    <w:p w14:paraId="6F27C730" w14:textId="20BD3127" w:rsidR="00D51483" w:rsidRDefault="002D0EE3" w:rsidP="002D0EE3">
      <w:pPr>
        <w:pStyle w:val="Heading1"/>
      </w:pPr>
      <w:r>
        <w:lastRenderedPageBreak/>
        <w:t xml:space="preserve"> </w:t>
      </w:r>
      <w:bookmarkStart w:id="7" w:name="_Toc525413969"/>
      <w:r w:rsidR="00D51483">
        <w:t>Introduction</w:t>
      </w:r>
      <w:bookmarkEnd w:id="5"/>
      <w:bookmarkEnd w:id="6"/>
      <w:bookmarkEnd w:id="7"/>
    </w:p>
    <w:p w14:paraId="6411796A" w14:textId="77777777" w:rsidR="009F174B" w:rsidRPr="009F174B" w:rsidRDefault="009F174B" w:rsidP="009F174B">
      <w:pPr>
        <w:pStyle w:val="Heading2"/>
      </w:pPr>
      <w:bookmarkStart w:id="8" w:name="_Toc488088748"/>
      <w:bookmarkStart w:id="9" w:name="_Toc488093136"/>
      <w:bookmarkStart w:id="10" w:name="_Toc525413970"/>
      <w:r>
        <w:t>Legislative background</w:t>
      </w:r>
      <w:bookmarkEnd w:id="8"/>
      <w:bookmarkEnd w:id="9"/>
      <w:bookmarkEnd w:id="10"/>
    </w:p>
    <w:p w14:paraId="0D6BD6D0" w14:textId="5E2960FE" w:rsidR="00EF3D81" w:rsidRPr="0047508A" w:rsidRDefault="0047508A" w:rsidP="0047508A">
      <w:r>
        <w:t>This research is to examine whether taxi lice</w:t>
      </w:r>
      <w:r w:rsidR="00531D0A">
        <w:t xml:space="preserve">nsing authorities </w:t>
      </w:r>
      <w:r w:rsidR="00C25EEE">
        <w:t>have implemented</w:t>
      </w:r>
      <w:r w:rsidR="00531D0A">
        <w:t xml:space="preserve"> </w:t>
      </w:r>
      <w:r>
        <w:t xml:space="preserve">the powers </w:t>
      </w:r>
      <w:r w:rsidR="00531D0A">
        <w:t>afforded</w:t>
      </w:r>
      <w:r w:rsidR="0022043E">
        <w:t xml:space="preserve"> to</w:t>
      </w:r>
      <w:r w:rsidR="00531D0A">
        <w:t xml:space="preserve"> them </w:t>
      </w:r>
      <w:r>
        <w:t xml:space="preserve">under </w:t>
      </w:r>
      <w:r w:rsidR="00531D0A">
        <w:t xml:space="preserve">sections 165 and </w:t>
      </w:r>
      <w:r>
        <w:t>167 of the Equality Act</w:t>
      </w:r>
      <w:r w:rsidR="00531D0A">
        <w:t xml:space="preserve"> (the </w:t>
      </w:r>
      <w:r w:rsidR="00531D0A" w:rsidRPr="00D60FCE">
        <w:t>Act),</w:t>
      </w:r>
      <w:r w:rsidRPr="00D60FCE">
        <w:t xml:space="preserve"> </w:t>
      </w:r>
      <w:r w:rsidR="00A21688" w:rsidRPr="00D60FCE">
        <w:t xml:space="preserve">that is </w:t>
      </w:r>
      <w:r w:rsidRPr="00D60FCE">
        <w:t>t</w:t>
      </w:r>
      <w:r>
        <w:t>o make it illegal for taxi and private hire drivers to discriminate against wheelchair users.</w:t>
      </w:r>
    </w:p>
    <w:p w14:paraId="7D1CB456" w14:textId="3CDA400B" w:rsidR="00D51483" w:rsidRDefault="008229E9" w:rsidP="00D51483">
      <w:r>
        <w:t xml:space="preserve">S165 of the Act </w:t>
      </w:r>
      <w:r w:rsidR="00531D0A">
        <w:t xml:space="preserve">places legal obligations on </w:t>
      </w:r>
      <w:r>
        <w:t>drivers of wheelchair accessible taxis and private hire vehicles</w:t>
      </w:r>
      <w:r w:rsidR="0047508A">
        <w:t xml:space="preserve"> (PHVs)</w:t>
      </w:r>
      <w:r>
        <w:t xml:space="preserve"> to</w:t>
      </w:r>
      <w:r w:rsidR="00531D0A">
        <w:t xml:space="preserve"> not</w:t>
      </w:r>
      <w:r>
        <w:t xml:space="preserve"> discriminate against wheelchair users. Specifically, </w:t>
      </w:r>
      <w:r w:rsidR="00664069">
        <w:t>it obliges authorities:</w:t>
      </w:r>
    </w:p>
    <w:p w14:paraId="513F5215" w14:textId="77777777" w:rsidR="008229E9" w:rsidRPr="00FD2625" w:rsidRDefault="008229E9" w:rsidP="00531D0A">
      <w:pPr>
        <w:pStyle w:val="ListParagraph"/>
        <w:numPr>
          <w:ilvl w:val="0"/>
          <w:numId w:val="16"/>
        </w:numPr>
        <w:ind w:left="1276" w:right="855" w:hanging="425"/>
        <w:rPr>
          <w:rFonts w:ascii="Arial" w:hAnsi="Arial" w:cs="Arial"/>
        </w:rPr>
      </w:pPr>
      <w:r w:rsidRPr="00FD2625">
        <w:rPr>
          <w:rFonts w:ascii="Arial" w:hAnsi="Arial" w:cs="Arial"/>
        </w:rPr>
        <w:t xml:space="preserve">to carry the passenger while in the wheelchair; </w:t>
      </w:r>
    </w:p>
    <w:p w14:paraId="053CDFCD" w14:textId="77777777" w:rsidR="008229E9" w:rsidRPr="00FD2625" w:rsidRDefault="008229E9" w:rsidP="00531D0A">
      <w:pPr>
        <w:pStyle w:val="ListParagraph"/>
        <w:numPr>
          <w:ilvl w:val="0"/>
          <w:numId w:val="16"/>
        </w:numPr>
        <w:ind w:left="1276" w:right="855" w:hanging="425"/>
        <w:rPr>
          <w:rFonts w:ascii="Arial" w:hAnsi="Arial" w:cs="Arial"/>
        </w:rPr>
      </w:pPr>
      <w:r w:rsidRPr="00FD2625">
        <w:rPr>
          <w:rFonts w:ascii="Arial" w:hAnsi="Arial" w:cs="Arial"/>
        </w:rPr>
        <w:t>not to make any additional charge for doing so;</w:t>
      </w:r>
    </w:p>
    <w:p w14:paraId="0B626BBB" w14:textId="77777777" w:rsidR="008229E9" w:rsidRPr="00FD2625" w:rsidRDefault="008229E9" w:rsidP="00531D0A">
      <w:pPr>
        <w:pStyle w:val="ListParagraph"/>
        <w:numPr>
          <w:ilvl w:val="0"/>
          <w:numId w:val="16"/>
        </w:numPr>
        <w:ind w:left="1276" w:right="855" w:hanging="425"/>
        <w:rPr>
          <w:rFonts w:ascii="Arial" w:hAnsi="Arial" w:cs="Arial"/>
        </w:rPr>
      </w:pPr>
      <w:r w:rsidRPr="00FD2625">
        <w:rPr>
          <w:rFonts w:ascii="Arial" w:hAnsi="Arial" w:cs="Arial"/>
        </w:rPr>
        <w:t>if the passenger chooses to sit in a passenger seat, to carry the wheelchair;</w:t>
      </w:r>
    </w:p>
    <w:p w14:paraId="59CB9782" w14:textId="77777777" w:rsidR="008229E9" w:rsidRPr="00FD2625" w:rsidRDefault="008229E9" w:rsidP="00531D0A">
      <w:pPr>
        <w:pStyle w:val="ListParagraph"/>
        <w:numPr>
          <w:ilvl w:val="0"/>
          <w:numId w:val="16"/>
        </w:numPr>
        <w:ind w:left="1276" w:right="855" w:hanging="425"/>
        <w:rPr>
          <w:rFonts w:ascii="Arial" w:hAnsi="Arial" w:cs="Arial"/>
        </w:rPr>
      </w:pPr>
      <w:r w:rsidRPr="00FD2625">
        <w:rPr>
          <w:rFonts w:ascii="Arial" w:hAnsi="Arial" w:cs="Arial"/>
        </w:rPr>
        <w:t>to take such steps as are necessary to ensure that the passenger is carried in safety and reasonable comfort; and</w:t>
      </w:r>
    </w:p>
    <w:p w14:paraId="7280475E" w14:textId="77777777" w:rsidR="000F0CC9" w:rsidRPr="00FD2625" w:rsidRDefault="008229E9" w:rsidP="00531D0A">
      <w:pPr>
        <w:pStyle w:val="ListParagraph"/>
        <w:numPr>
          <w:ilvl w:val="0"/>
          <w:numId w:val="16"/>
        </w:numPr>
        <w:ind w:left="1276" w:right="855" w:hanging="425"/>
        <w:rPr>
          <w:rFonts w:ascii="Arial" w:hAnsi="Arial" w:cs="Arial"/>
        </w:rPr>
      </w:pPr>
      <w:r w:rsidRPr="00FD2625">
        <w:rPr>
          <w:rFonts w:ascii="Arial" w:hAnsi="Arial" w:cs="Arial"/>
        </w:rPr>
        <w:t>to give the passenger such mobility assistance as is reasonably required</w:t>
      </w:r>
      <w:bookmarkStart w:id="11" w:name="_Ref487744334"/>
      <w:r w:rsidR="000F0CC9" w:rsidRPr="00FD2625">
        <w:rPr>
          <w:rStyle w:val="EndnoteReference"/>
          <w:rFonts w:ascii="Arial" w:hAnsi="Arial" w:cs="Arial"/>
        </w:rPr>
        <w:endnoteReference w:id="1"/>
      </w:r>
      <w:bookmarkEnd w:id="11"/>
    </w:p>
    <w:p w14:paraId="3E3EC5A1" w14:textId="50985922" w:rsidR="000F0CC9" w:rsidRDefault="000F0CC9" w:rsidP="008229E9">
      <w:r>
        <w:t xml:space="preserve">This is a new duty. </w:t>
      </w:r>
      <w:r w:rsidR="00664069">
        <w:t>It has</w:t>
      </w:r>
      <w:r>
        <w:t xml:space="preserve"> been on the statute books since 1995, but was only commenced on 6</w:t>
      </w:r>
      <w:r w:rsidRPr="00E61682">
        <w:rPr>
          <w:vertAlign w:val="superscript"/>
        </w:rPr>
        <w:t>th</w:t>
      </w:r>
      <w:r>
        <w:t xml:space="preserve"> April 2017, in the wake of pointed criticism by the Equality Act 2010 and Disability select committee.</w:t>
      </w:r>
      <w:r>
        <w:rPr>
          <w:rStyle w:val="EndnoteReference"/>
        </w:rPr>
        <w:endnoteReference w:id="2"/>
      </w:r>
      <w:r>
        <w:t xml:space="preserve"> The Government </w:t>
      </w:r>
      <w:r w:rsidR="00664069">
        <w:t>said</w:t>
      </w:r>
      <w:r>
        <w:t>:</w:t>
      </w:r>
    </w:p>
    <w:p w14:paraId="09307B4C" w14:textId="77777777" w:rsidR="000F0CC9" w:rsidRDefault="000F0CC9" w:rsidP="00FD2625">
      <w:pPr>
        <w:pStyle w:val="Quote"/>
      </w:pPr>
      <w:r w:rsidRPr="00FD2625">
        <w:t>Having given careful consideration to the effects of commencing sections 165 and 167 of the Equality Act, including ensuring that drivers understand fully their responsibilities, we will now proceed to bring the measures into force, aiming for commencement by the end of 2016. This will provide wheelchair users with similar protection from discrimination as that already available to assistance dog owners – ensuring that they are provided with the assistance they need to access taxis and private hire vehicles, and that they can no longer be charged extra.</w:t>
      </w:r>
    </w:p>
    <w:p w14:paraId="23F6C2DE" w14:textId="77777777" w:rsidR="009F174B" w:rsidRPr="009F174B" w:rsidRDefault="009F174B" w:rsidP="009F174B">
      <w:pPr>
        <w:pStyle w:val="Heading2"/>
      </w:pPr>
      <w:bookmarkStart w:id="12" w:name="_Toc488088749"/>
      <w:bookmarkStart w:id="13" w:name="_Toc488093137"/>
      <w:bookmarkStart w:id="14" w:name="_Toc525413971"/>
      <w:r>
        <w:t>S167 lists</w:t>
      </w:r>
      <w:bookmarkEnd w:id="12"/>
      <w:bookmarkEnd w:id="13"/>
      <w:bookmarkEnd w:id="14"/>
    </w:p>
    <w:p w14:paraId="4C9E7139" w14:textId="77777777" w:rsidR="000F0CC9" w:rsidRDefault="000F0CC9" w:rsidP="008229E9">
      <w:r>
        <w:t xml:space="preserve">The legislation, however, has an Achilles heel: it only </w:t>
      </w:r>
      <w:r w:rsidR="00531D0A">
        <w:t>takes</w:t>
      </w:r>
      <w:r>
        <w:t xml:space="preserve"> effect </w:t>
      </w:r>
      <w:r w:rsidR="009E1B75">
        <w:t xml:space="preserve">in areas of the country </w:t>
      </w:r>
      <w:r>
        <w:t xml:space="preserve">where taxi and </w:t>
      </w:r>
      <w:r w:rsidR="00531D0A">
        <w:t>PHV</w:t>
      </w:r>
      <w:r>
        <w:t xml:space="preserve"> licensing authorities have created a specific list of wheelchair accessible vehicles</w:t>
      </w:r>
      <w:r w:rsidR="009E1B75">
        <w:t xml:space="preserve"> under</w:t>
      </w:r>
      <w:r>
        <w:t xml:space="preserve"> s167 of the Act. </w:t>
      </w:r>
    </w:p>
    <w:p w14:paraId="756A88D9" w14:textId="77777777" w:rsidR="000F0CC9" w:rsidRDefault="000F0CC9" w:rsidP="008229E9">
      <w:r>
        <w:t>In February 2017, the Department for Transport issued statutory guidance to taxi licensing authorities</w:t>
      </w:r>
      <w:r>
        <w:rPr>
          <w:rStyle w:val="EndnoteReference"/>
        </w:rPr>
        <w:endnoteReference w:id="3"/>
      </w:r>
      <w:r>
        <w:t>, which states:</w:t>
      </w:r>
    </w:p>
    <w:p w14:paraId="1310D150" w14:textId="77777777" w:rsidR="000F0CC9" w:rsidRDefault="000F0CC9" w:rsidP="00183D29">
      <w:pPr>
        <w:pStyle w:val="Quote"/>
      </w:pPr>
      <w:r>
        <w:t>Section 167 of the Act permits, but does not require, L</w:t>
      </w:r>
      <w:r w:rsidR="009E1B75">
        <w:t>As (Local Authorities)</w:t>
      </w:r>
      <w:r>
        <w:t xml:space="preserve"> to maintain a designated list of wheelchair accessible taxis and PHVs.</w:t>
      </w:r>
    </w:p>
    <w:p w14:paraId="073AB3DF" w14:textId="77777777" w:rsidR="000F0CC9" w:rsidRDefault="000F0CC9" w:rsidP="00183D29">
      <w:pPr>
        <w:pStyle w:val="Quote"/>
      </w:pPr>
      <w:r>
        <w:t xml:space="preserve">Whilst LAs are under no specific legal obligation to maintain a list under section 167, the Government recommends strongly that they </w:t>
      </w:r>
      <w:r>
        <w:lastRenderedPageBreak/>
        <w:t>do so. Without such a list the requirements of section 165 of the Act do not apply, and drivers may continue to refuse the carriage of wheelchair users, fail to provide them with assistance, or to charge them extra.</w:t>
      </w:r>
    </w:p>
    <w:p w14:paraId="72132243" w14:textId="77777777" w:rsidR="006661C1" w:rsidRPr="006661C1" w:rsidRDefault="006661C1" w:rsidP="006661C1">
      <w:r>
        <w:t xml:space="preserve">The guidance </w:t>
      </w:r>
      <w:r w:rsidR="009E1B75">
        <w:t>recommends</w:t>
      </w:r>
      <w:r>
        <w:t xml:space="preserve"> licensing authorities work towards producing a S167 list by October 2017.</w:t>
      </w:r>
    </w:p>
    <w:p w14:paraId="631663A4" w14:textId="77777777" w:rsidR="00531D0A" w:rsidRDefault="00531D0A" w:rsidP="00531D0A">
      <w:pPr>
        <w:pStyle w:val="Heading2"/>
      </w:pPr>
      <w:bookmarkStart w:id="15" w:name="_Toc488088750"/>
      <w:bookmarkStart w:id="16" w:name="_Toc488093138"/>
      <w:bookmarkStart w:id="17" w:name="_Toc525413972"/>
      <w:r>
        <w:t>The issue in question</w:t>
      </w:r>
      <w:bookmarkEnd w:id="15"/>
      <w:bookmarkEnd w:id="16"/>
      <w:bookmarkEnd w:id="17"/>
    </w:p>
    <w:p w14:paraId="6CF97BCB" w14:textId="7EDAC11E" w:rsidR="00531D0A" w:rsidRDefault="0044336A" w:rsidP="009F174B">
      <w:r>
        <w:t>To the best of my knowledge,</w:t>
      </w:r>
      <w:r w:rsidR="003A620B">
        <w:t xml:space="preserve"> </w:t>
      </w:r>
      <w:r>
        <w:t>no</w:t>
      </w:r>
      <w:r w:rsidR="00C25EEE">
        <w:t xml:space="preserve"> </w:t>
      </w:r>
      <w:r>
        <w:t xml:space="preserve">body </w:t>
      </w:r>
      <w:r w:rsidR="00C25EEE">
        <w:t>has comprehensively evaluated</w:t>
      </w:r>
      <w:r>
        <w:t xml:space="preserve"> whether </w:t>
      </w:r>
      <w:r w:rsidR="000F0CC9">
        <w:t xml:space="preserve">taxi and PHV licensing authorities </w:t>
      </w:r>
      <w:r w:rsidR="00C25EEE">
        <w:t>have implemented this legislation</w:t>
      </w:r>
      <w:r w:rsidR="009E1B75">
        <w:t>.</w:t>
      </w:r>
      <w:r>
        <w:t xml:space="preserve"> </w:t>
      </w:r>
    </w:p>
    <w:p w14:paraId="7ED67141" w14:textId="77777777" w:rsidR="00C25EEE" w:rsidRDefault="00531D0A" w:rsidP="009F174B">
      <w:r>
        <w:t>My intent in this research is to</w:t>
      </w:r>
      <w:r w:rsidR="00C25EEE">
        <w:t xml:space="preserve"> look at the efficacy of this anti-discrimination legislation. I have looked at: </w:t>
      </w:r>
    </w:p>
    <w:p w14:paraId="76685CCE" w14:textId="5B6A2049" w:rsidR="00C25EEE" w:rsidRDefault="00C25EEE" w:rsidP="00C25EEE">
      <w:pPr>
        <w:pStyle w:val="ListParagraph"/>
        <w:numPr>
          <w:ilvl w:val="0"/>
          <w:numId w:val="36"/>
        </w:numPr>
      </w:pPr>
      <w:r>
        <w:t xml:space="preserve">whether authorities have implemented S167 lists, and which </w:t>
      </w:r>
      <w:r w:rsidR="00D60FCE">
        <w:t>authorities have</w:t>
      </w:r>
      <w:r>
        <w:t>;</w:t>
      </w:r>
    </w:p>
    <w:p w14:paraId="20EB119A" w14:textId="2E825009" w:rsidR="00C25EEE" w:rsidRDefault="00C25EEE" w:rsidP="00C25EEE">
      <w:pPr>
        <w:pStyle w:val="ListParagraph"/>
        <w:numPr>
          <w:ilvl w:val="0"/>
          <w:numId w:val="36"/>
        </w:numPr>
      </w:pPr>
      <w:r>
        <w:t xml:space="preserve">why authorities have or </w:t>
      </w:r>
      <w:r w:rsidR="00664069">
        <w:t>have not</w:t>
      </w:r>
      <w:r>
        <w:t xml:space="preserve"> implemented such lists;</w:t>
      </w:r>
    </w:p>
    <w:p w14:paraId="19BC926D" w14:textId="724A1565" w:rsidR="00C25EEE" w:rsidRDefault="00C25EEE" w:rsidP="00C25EEE">
      <w:pPr>
        <w:pStyle w:val="ListParagraph"/>
        <w:numPr>
          <w:ilvl w:val="0"/>
          <w:numId w:val="36"/>
        </w:numPr>
      </w:pPr>
      <w:r>
        <w:t xml:space="preserve">whether their implementation is compliant with the statutory guidance; </w:t>
      </w:r>
    </w:p>
    <w:p w14:paraId="1F23AD91" w14:textId="5424D261" w:rsidR="00C25EEE" w:rsidRDefault="00C25EEE" w:rsidP="00C25EEE">
      <w:pPr>
        <w:pStyle w:val="ListParagraph"/>
        <w:numPr>
          <w:ilvl w:val="0"/>
          <w:numId w:val="36"/>
        </w:numPr>
      </w:pPr>
      <w:r>
        <w:t>the number of taxi drivers who have applied for medical exemption from the obligations;</w:t>
      </w:r>
    </w:p>
    <w:p w14:paraId="3536798D" w14:textId="2BE48EAF" w:rsidR="009F174B" w:rsidRDefault="00C25EEE" w:rsidP="00C25EEE">
      <w:pPr>
        <w:pStyle w:val="ListParagraph"/>
        <w:numPr>
          <w:ilvl w:val="0"/>
          <w:numId w:val="36"/>
        </w:numPr>
      </w:pPr>
      <w:r>
        <w:t>enforcement action taken against drivers who discriminate.</w:t>
      </w:r>
    </w:p>
    <w:p w14:paraId="7A42884B" w14:textId="79B441AD" w:rsidR="00772362" w:rsidRDefault="00664069" w:rsidP="00772362">
      <w:pPr>
        <w:pStyle w:val="Heading2"/>
      </w:pPr>
      <w:bookmarkStart w:id="18" w:name="_Toc525413973"/>
      <w:r>
        <w:t>Earlier</w:t>
      </w:r>
      <w:r w:rsidR="00772362">
        <w:t xml:space="preserve"> reports</w:t>
      </w:r>
      <w:bookmarkEnd w:id="18"/>
    </w:p>
    <w:p w14:paraId="0A201EEE" w14:textId="3A0A7FA2" w:rsidR="000F0518" w:rsidRDefault="00772362" w:rsidP="000F0518">
      <w:r>
        <w:t xml:space="preserve">I have produced two interim reports </w:t>
      </w:r>
      <w:r w:rsidR="00453B75">
        <w:t>during</w:t>
      </w:r>
      <w:r>
        <w:t xml:space="preserve"> this research. These are </w:t>
      </w:r>
      <w:hyperlink r:id="rId18" w:tooltip="S167 research on Doug Paulley's website" w:history="1">
        <w:r w:rsidRPr="00851012">
          <w:rPr>
            <w:rStyle w:val="Hyperlink"/>
          </w:rPr>
          <w:t>available on my website</w:t>
        </w:r>
      </w:hyperlink>
      <w:r w:rsidR="000F0518">
        <w:t>.</w:t>
      </w:r>
      <w:r>
        <w:t xml:space="preserve"> </w:t>
      </w:r>
      <w:r w:rsidR="000F0518">
        <w:t>The</w:t>
      </w:r>
      <w:r w:rsidR="009758D7">
        <w:t xml:space="preserve"> interim reports</w:t>
      </w:r>
      <w:r w:rsidR="000F0518">
        <w:t xml:space="preserve"> address </w:t>
      </w:r>
      <w:r w:rsidR="009758D7">
        <w:t>the following</w:t>
      </w:r>
      <w:r w:rsidR="000F0518">
        <w:t xml:space="preserve"> aspects not considered in this document:</w:t>
      </w:r>
    </w:p>
    <w:p w14:paraId="62E6D501" w14:textId="27951855" w:rsidR="000F0518" w:rsidRDefault="000F0518" w:rsidP="000F0518">
      <w:pPr>
        <w:pStyle w:val="Heading3"/>
      </w:pPr>
      <w:bookmarkStart w:id="19" w:name="_Toc525413974"/>
      <w:r>
        <w:t>July 2017 Report</w:t>
      </w:r>
      <w:bookmarkEnd w:id="19"/>
    </w:p>
    <w:p w14:paraId="1DD34EF2" w14:textId="7C2E83AA" w:rsidR="000F0518" w:rsidRDefault="000F0518" w:rsidP="000F0518">
      <w:pPr>
        <w:pStyle w:val="ListParagraph"/>
        <w:numPr>
          <w:ilvl w:val="0"/>
          <w:numId w:val="37"/>
        </w:numPr>
      </w:pPr>
      <w:r>
        <w:t>Analysis of S167 take-up and Number and Proportion of Accessible Taxis by Rural: Urban classification of authorities</w:t>
      </w:r>
    </w:p>
    <w:p w14:paraId="7D6932B7" w14:textId="488B3A22" w:rsidR="000F0518" w:rsidRDefault="000F0518" w:rsidP="000F0518">
      <w:pPr>
        <w:pStyle w:val="ListParagraph"/>
        <w:numPr>
          <w:ilvl w:val="0"/>
          <w:numId w:val="37"/>
        </w:numPr>
      </w:pPr>
      <w:r>
        <w:t>Variation in proportion of Accessible Taxis geographically and by S167 Status</w:t>
      </w:r>
    </w:p>
    <w:p w14:paraId="20420EAF" w14:textId="3D307A57" w:rsidR="000F0518" w:rsidRDefault="000F0518" w:rsidP="000F0518">
      <w:pPr>
        <w:pStyle w:val="ListParagraph"/>
        <w:numPr>
          <w:ilvl w:val="0"/>
          <w:numId w:val="37"/>
        </w:numPr>
      </w:pPr>
      <w:r>
        <w:t>Enforcement Mechanisms of S165 compliance</w:t>
      </w:r>
    </w:p>
    <w:p w14:paraId="07D23034" w14:textId="70F37C82" w:rsidR="000F0518" w:rsidRDefault="000F0518" w:rsidP="000F0518">
      <w:pPr>
        <w:pStyle w:val="ListParagraph"/>
        <w:numPr>
          <w:ilvl w:val="0"/>
          <w:numId w:val="37"/>
        </w:numPr>
      </w:pPr>
      <w:r>
        <w:t xml:space="preserve">Local authorities’ </w:t>
      </w:r>
      <w:r w:rsidR="00664069">
        <w:t>earlier</w:t>
      </w:r>
      <w:r>
        <w:t xml:space="preserve"> “voluntary” S167 lists</w:t>
      </w:r>
    </w:p>
    <w:p w14:paraId="577DA475" w14:textId="4551234D" w:rsidR="000F0518" w:rsidRDefault="000F0518" w:rsidP="000F0518">
      <w:pPr>
        <w:pStyle w:val="ListParagraph"/>
        <w:numPr>
          <w:ilvl w:val="0"/>
          <w:numId w:val="37"/>
        </w:numPr>
      </w:pPr>
      <w:r>
        <w:t>Authorities’ policy of mandatory Disability Awareness Training or Wheelchair Accessible Taxi Licensing</w:t>
      </w:r>
    </w:p>
    <w:p w14:paraId="54C423CC" w14:textId="7CCA5C10" w:rsidR="000F0518" w:rsidRDefault="000F0518" w:rsidP="000F0518">
      <w:pPr>
        <w:pStyle w:val="Heading3"/>
      </w:pPr>
      <w:bookmarkStart w:id="20" w:name="_Toc525413975"/>
      <w:r>
        <w:t>April 2018 Report</w:t>
      </w:r>
      <w:bookmarkEnd w:id="20"/>
    </w:p>
    <w:p w14:paraId="7A3ABAC9" w14:textId="62336E54" w:rsidR="009758D7" w:rsidRDefault="009758D7" w:rsidP="009758D7">
      <w:pPr>
        <w:pStyle w:val="ListParagraph"/>
        <w:numPr>
          <w:ilvl w:val="0"/>
          <w:numId w:val="38"/>
        </w:numPr>
      </w:pPr>
      <w:r>
        <w:t>Change in Number and Proportion of Wheelchair Accessible Taxis, 2015-2017</w:t>
      </w:r>
    </w:p>
    <w:p w14:paraId="6A1C788F" w14:textId="0E571A94" w:rsidR="009758D7" w:rsidRPr="009758D7" w:rsidRDefault="009758D7" w:rsidP="009758D7">
      <w:pPr>
        <w:pStyle w:val="ListParagraph"/>
        <w:numPr>
          <w:ilvl w:val="0"/>
          <w:numId w:val="38"/>
        </w:numPr>
      </w:pPr>
      <w:r>
        <w:t>Change in Authorities’ Policy on mandatory driver disability awareness training, and on licensing only wheelchair accessible taxis, 2015-2017</w:t>
      </w:r>
    </w:p>
    <w:p w14:paraId="1A3A4984" w14:textId="77777777" w:rsidR="000F0518" w:rsidRPr="000F0518" w:rsidRDefault="000F0518" w:rsidP="000F0518"/>
    <w:p w14:paraId="05E1EFB1" w14:textId="77777777" w:rsidR="00753BE5" w:rsidRDefault="00753BE5" w:rsidP="00753BE5">
      <w:pPr>
        <w:pStyle w:val="Heading1"/>
      </w:pPr>
      <w:bookmarkStart w:id="21" w:name="_Toc488088756"/>
      <w:bookmarkStart w:id="22" w:name="_Toc488093144"/>
      <w:bookmarkStart w:id="23" w:name="_Toc525413976"/>
      <w:r>
        <w:lastRenderedPageBreak/>
        <w:t>Methods</w:t>
      </w:r>
      <w:bookmarkEnd w:id="21"/>
      <w:bookmarkEnd w:id="22"/>
      <w:bookmarkEnd w:id="23"/>
    </w:p>
    <w:p w14:paraId="47B50821" w14:textId="24A4AAF4" w:rsidR="00753BE5" w:rsidRDefault="008C376A" w:rsidP="009F174B">
      <w:pPr>
        <w:pStyle w:val="Heading2"/>
        <w:numPr>
          <w:ilvl w:val="0"/>
          <w:numId w:val="24"/>
        </w:numPr>
      </w:pPr>
      <w:bookmarkStart w:id="24" w:name="_Toc488088757"/>
      <w:bookmarkStart w:id="25" w:name="_Toc488093145"/>
      <w:bookmarkStart w:id="26" w:name="_Toc525413977"/>
      <w:r>
        <w:t>L</w:t>
      </w:r>
      <w:r w:rsidR="00753BE5">
        <w:t>icensing Bodies</w:t>
      </w:r>
      <w:bookmarkEnd w:id="24"/>
      <w:bookmarkEnd w:id="25"/>
      <w:bookmarkEnd w:id="26"/>
    </w:p>
    <w:p w14:paraId="03D5DAE7" w14:textId="0A17FB64" w:rsidR="00424AD0" w:rsidRDefault="00753BE5" w:rsidP="00753BE5">
      <w:r>
        <w:t xml:space="preserve">I </w:t>
      </w:r>
      <w:r w:rsidR="00152BEA">
        <w:t>used</w:t>
      </w:r>
      <w:r>
        <w:t xml:space="preserve"> the list of </w:t>
      </w:r>
      <w:r w:rsidR="00757AEE">
        <w:t xml:space="preserve">315 </w:t>
      </w:r>
      <w:r>
        <w:t xml:space="preserve">licensing authorities in England and Wales </w:t>
      </w:r>
      <w:r w:rsidR="00C60BCC">
        <w:t>provided in</w:t>
      </w:r>
      <w:r>
        <w:t xml:space="preserve"> the Department for Transport’s 2015 </w:t>
      </w:r>
      <w:r w:rsidRPr="00753BE5">
        <w:t xml:space="preserve">Taxi and </w:t>
      </w:r>
      <w:r>
        <w:t>P</w:t>
      </w:r>
      <w:r w:rsidRPr="00753BE5">
        <w:t xml:space="preserve">rivate </w:t>
      </w:r>
      <w:r>
        <w:t>H</w:t>
      </w:r>
      <w:r w:rsidRPr="00753BE5">
        <w:t xml:space="preserve">ire </w:t>
      </w:r>
      <w:r>
        <w:t>V</w:t>
      </w:r>
      <w:r w:rsidRPr="00753BE5">
        <w:t>ehicles statistics</w:t>
      </w:r>
      <w:r w:rsidR="00152BEA">
        <w:t>,</w:t>
      </w:r>
      <w:r>
        <w:rPr>
          <w:rStyle w:val="EndnoteReference"/>
        </w:rPr>
        <w:endnoteReference w:id="4"/>
      </w:r>
      <w:r w:rsidR="00424AD0">
        <w:t xml:space="preserve"> and the list of </w:t>
      </w:r>
      <w:r w:rsidR="00757AEE">
        <w:t xml:space="preserve">22 </w:t>
      </w:r>
      <w:r w:rsidR="00424AD0">
        <w:t>licensing authorities in Scotland from Transport Scotland’s datasets.</w:t>
      </w:r>
      <w:r w:rsidR="00424AD0">
        <w:rPr>
          <w:rStyle w:val="EndnoteReference"/>
        </w:rPr>
        <w:endnoteReference w:id="5"/>
      </w:r>
      <w:r w:rsidR="00424AD0">
        <w:t xml:space="preserve"> </w:t>
      </w:r>
    </w:p>
    <w:p w14:paraId="7C3D4303" w14:textId="251A31C4" w:rsidR="00F92600" w:rsidRDefault="00424AD0" w:rsidP="00753BE5">
      <w:pPr>
        <w:pStyle w:val="Heading2"/>
      </w:pPr>
      <w:bookmarkStart w:id="27" w:name="_Toc488088758"/>
      <w:bookmarkStart w:id="28" w:name="_Toc488093146"/>
      <w:bookmarkStart w:id="29" w:name="_Toc525413978"/>
      <w:r>
        <w:t xml:space="preserve">Freedom of Information </w:t>
      </w:r>
      <w:r w:rsidR="00152BEA">
        <w:t xml:space="preserve">(FOI) </w:t>
      </w:r>
      <w:r>
        <w:t>Requests</w:t>
      </w:r>
      <w:bookmarkEnd w:id="27"/>
      <w:bookmarkEnd w:id="28"/>
      <w:bookmarkEnd w:id="29"/>
    </w:p>
    <w:p w14:paraId="0CB3A54A" w14:textId="500873D3" w:rsidR="00753BE5" w:rsidRDefault="00F92600" w:rsidP="00F92600">
      <w:r>
        <w:t xml:space="preserve">I sent approximately 1,150 Freedom of Information Requests. This comprised three waves of </w:t>
      </w:r>
      <w:r w:rsidRPr="00F92600">
        <w:t>19 April 2017</w:t>
      </w:r>
      <w:r>
        <w:t xml:space="preserve">, </w:t>
      </w:r>
      <w:r w:rsidRPr="00F92600">
        <w:t xml:space="preserve">4 November </w:t>
      </w:r>
      <w:r w:rsidR="00664069" w:rsidRPr="00F92600">
        <w:t>2017,</w:t>
      </w:r>
      <w:r>
        <w:t xml:space="preserve"> and </w:t>
      </w:r>
      <w:r w:rsidRPr="00F92600">
        <w:t>2 May 2018</w:t>
      </w:r>
      <w:r>
        <w:t xml:space="preserve">. In each wave, I sent substantially the same FOI request to each </w:t>
      </w:r>
      <w:r w:rsidR="00757AEE">
        <w:t>of the 347</w:t>
      </w:r>
      <w:r>
        <w:t xml:space="preserve"> licensing bod</w:t>
      </w:r>
      <w:r w:rsidR="00757AEE">
        <w:t>ies</w:t>
      </w:r>
      <w:r>
        <w:t xml:space="preserve"> - </w:t>
      </w:r>
      <w:r w:rsidR="00424AD0">
        <w:t xml:space="preserve">see </w:t>
      </w:r>
      <w:hyperlink w:anchor="_Appendix_1_–" w:tooltip="Appendix 1: Sample Freedom of Information Request" w:history="1">
        <w:r w:rsidR="00424AD0" w:rsidRPr="00F92600">
          <w:rPr>
            <w:rStyle w:val="Hyperlink"/>
          </w:rPr>
          <w:t>Appendix 1</w:t>
        </w:r>
      </w:hyperlink>
      <w:r w:rsidR="00424AD0">
        <w:t xml:space="preserve"> </w:t>
      </w:r>
      <w:r>
        <w:t>for a</w:t>
      </w:r>
      <w:r w:rsidR="00A21688" w:rsidRPr="00851012">
        <w:t xml:space="preserve"> s</w:t>
      </w:r>
      <w:r w:rsidRPr="00851012">
        <w:t>ample</w:t>
      </w:r>
      <w:r w:rsidR="00757AEE" w:rsidRPr="00851012">
        <w:t xml:space="preserve"> </w:t>
      </w:r>
      <w:r w:rsidR="00757AEE">
        <w:t>request</w:t>
      </w:r>
      <w:r>
        <w:t>.</w:t>
      </w:r>
      <w:r w:rsidR="00424AD0">
        <w:t xml:space="preserve"> I </w:t>
      </w:r>
      <w:r w:rsidR="00757AEE">
        <w:t>used</w:t>
      </w:r>
      <w:r w:rsidR="00424AD0">
        <w:t xml:space="preserve"> WhatDoTheyKnow.com </w:t>
      </w:r>
      <w:r w:rsidR="00271CDF">
        <w:t>to</w:t>
      </w:r>
      <w:r w:rsidR="00424AD0">
        <w:t xml:space="preserve"> </w:t>
      </w:r>
      <w:r w:rsidR="00664069">
        <w:t>help</w:t>
      </w:r>
      <w:r w:rsidR="00424AD0">
        <w:t xml:space="preserve"> with keeping track of the requests and to ensure that all responses are published online </w:t>
      </w:r>
      <w:r w:rsidR="00446650">
        <w:t xml:space="preserve">for any interested party to </w:t>
      </w:r>
      <w:r w:rsidR="002F4A0F">
        <w:t>read.</w:t>
      </w:r>
    </w:p>
    <w:p w14:paraId="2AA5DF49" w14:textId="70E5BE32" w:rsidR="006820F3" w:rsidRDefault="00424AD0" w:rsidP="006820F3">
      <w:r>
        <w:t xml:space="preserve">I </w:t>
      </w:r>
      <w:r w:rsidR="00122756">
        <w:t>c</w:t>
      </w:r>
      <w:r w:rsidR="006820F3">
        <w:t xml:space="preserve">ollated the </w:t>
      </w:r>
      <w:r w:rsidR="00453B75">
        <w:t>responses and</w:t>
      </w:r>
      <w:r w:rsidR="006820F3">
        <w:t xml:space="preserve"> </w:t>
      </w:r>
      <w:r w:rsidR="002F4A0F">
        <w:t>acted</w:t>
      </w:r>
      <w:r w:rsidR="00A21688">
        <w:rPr>
          <w:color w:val="C00000"/>
        </w:rPr>
        <w:t>,</w:t>
      </w:r>
      <w:r w:rsidR="006820F3">
        <w:t xml:space="preserve"> where </w:t>
      </w:r>
      <w:r w:rsidR="00664069">
        <w:t>needed</w:t>
      </w:r>
      <w:r w:rsidR="00A21688">
        <w:rPr>
          <w:color w:val="C00000"/>
        </w:rPr>
        <w:t xml:space="preserve">, </w:t>
      </w:r>
      <w:r w:rsidR="00271CDF">
        <w:t>to</w:t>
      </w:r>
      <w:r w:rsidR="006820F3">
        <w:t xml:space="preserve"> </w:t>
      </w:r>
      <w:r w:rsidR="00152BEA">
        <w:t>pressurise</w:t>
      </w:r>
      <w:r w:rsidR="006820F3">
        <w:t xml:space="preserve"> authorities into </w:t>
      </w:r>
      <w:r w:rsidR="00AD7172">
        <w:t>supplying</w:t>
      </w:r>
      <w:r w:rsidR="006820F3">
        <w:t xml:space="preserve"> the information. </w:t>
      </w:r>
      <w:r w:rsidR="00F92FEC">
        <w:t xml:space="preserve">This involved much chasing of authorities and appeals through the Information Commissioners (UK and Scotland). </w:t>
      </w:r>
      <w:r w:rsidR="006820F3">
        <w:t>Whilst public authorities are obliged by the Freedom of Information Act 2000 to respond to Freedom of Information Requests with the information required or a valid exemption “</w:t>
      </w:r>
      <w:r w:rsidR="006820F3" w:rsidRPr="00357C19">
        <w:rPr>
          <w:i/>
        </w:rPr>
        <w:t>promptly and in any event not later than the twentieth working day following the date of receipt</w:t>
      </w:r>
      <w:r w:rsidR="00EC31B9">
        <w:rPr>
          <w:i/>
        </w:rPr>
        <w:t>,</w:t>
      </w:r>
      <w:r w:rsidR="006820F3">
        <w:t>”</w:t>
      </w:r>
      <w:r w:rsidR="006820F3">
        <w:rPr>
          <w:rStyle w:val="EndnoteReference"/>
        </w:rPr>
        <w:endnoteReference w:id="6"/>
      </w:r>
      <w:r w:rsidR="006820F3">
        <w:t xml:space="preserve"> </w:t>
      </w:r>
      <w:r w:rsidR="00EC31B9">
        <w:t xml:space="preserve">it is </w:t>
      </w:r>
      <w:r w:rsidR="00F92FEC">
        <w:t>my</w:t>
      </w:r>
      <w:r w:rsidR="00EC31B9">
        <w:t xml:space="preserve"> experience</w:t>
      </w:r>
      <w:r w:rsidR="00357C19">
        <w:t xml:space="preserve"> that</w:t>
      </w:r>
      <w:r w:rsidR="00FA3197">
        <w:t xml:space="preserve"> authorities’</w:t>
      </w:r>
      <w:r w:rsidR="00357C19">
        <w:t xml:space="preserve"> compliance with the Act is variable at best</w:t>
      </w:r>
      <w:r w:rsidR="00F92FEC">
        <w:t xml:space="preserve">. </w:t>
      </w:r>
    </w:p>
    <w:p w14:paraId="3873AF50" w14:textId="63BE7560" w:rsidR="00F92FEC" w:rsidRPr="00D60FCE" w:rsidRDefault="00A21688" w:rsidP="00F92FEC">
      <w:r w:rsidRPr="00D60FCE">
        <w:t xml:space="preserve">At the time </w:t>
      </w:r>
      <w:r w:rsidR="00357C19" w:rsidRPr="00D60FCE">
        <w:t xml:space="preserve">of writing, </w:t>
      </w:r>
      <w:r w:rsidR="00F92FEC" w:rsidRPr="00D60FCE">
        <w:t>I am still awaiting clear responses to my latest FOI request from 3</w:t>
      </w:r>
      <w:r w:rsidR="00357C19" w:rsidRPr="00D60FCE">
        <w:t xml:space="preserve"> of the 347 authorities.</w:t>
      </w:r>
    </w:p>
    <w:p w14:paraId="512A7D16" w14:textId="77777777" w:rsidR="00357C19" w:rsidRDefault="00357C19" w:rsidP="00357C19">
      <w:pPr>
        <w:pStyle w:val="Heading2"/>
      </w:pPr>
      <w:bookmarkStart w:id="30" w:name="_Toc488088759"/>
      <w:bookmarkStart w:id="31" w:name="_Toc488093147"/>
      <w:bookmarkStart w:id="32" w:name="_Toc525413979"/>
      <w:r>
        <w:t>Characteristics of licensing authorities</w:t>
      </w:r>
      <w:bookmarkEnd w:id="30"/>
      <w:bookmarkEnd w:id="31"/>
      <w:bookmarkEnd w:id="32"/>
    </w:p>
    <w:p w14:paraId="660D9FEA" w14:textId="5AF1B8E8" w:rsidR="00357C19" w:rsidRDefault="00357C19" w:rsidP="00357C19">
      <w:r>
        <w:t xml:space="preserve">The datasets from the Department for Transport and </w:t>
      </w:r>
      <w:r w:rsidR="00152BEA">
        <w:t xml:space="preserve">from </w:t>
      </w:r>
      <w:r>
        <w:t xml:space="preserve">Transport Scotland include the following data, or data from which the following can be derived. </w:t>
      </w:r>
      <w:r w:rsidR="009E6224">
        <w:t>This</w:t>
      </w:r>
      <w:r>
        <w:t xml:space="preserve"> </w:t>
      </w:r>
      <w:r w:rsidR="00FB48E6">
        <w:t xml:space="preserve">data </w:t>
      </w:r>
      <w:r>
        <w:t xml:space="preserve">may be of interest </w:t>
      </w:r>
      <w:r w:rsidR="00FB48E6">
        <w:t xml:space="preserve">when </w:t>
      </w:r>
      <w:r w:rsidR="00AD7172">
        <w:t>finding</w:t>
      </w:r>
      <w:r>
        <w:t xml:space="preserve"> characteristics of licensing authorities a</w:t>
      </w:r>
      <w:r w:rsidR="00A944CE">
        <w:t>nd th</w:t>
      </w:r>
      <w:r w:rsidR="00FB48E6">
        <w:t xml:space="preserve">eir approach to S167 lists. I </w:t>
      </w:r>
      <w:r w:rsidR="009E6224">
        <w:t>therefore</w:t>
      </w:r>
      <w:r w:rsidR="00A944CE">
        <w:t xml:space="preserve"> incorpo</w:t>
      </w:r>
      <w:r w:rsidR="00152BEA">
        <w:t xml:space="preserve">rated </w:t>
      </w:r>
      <w:r w:rsidR="009E6224">
        <w:t>this</w:t>
      </w:r>
      <w:r w:rsidR="00152BEA">
        <w:t xml:space="preserve"> data in my analysis of the FOI responses.</w:t>
      </w:r>
      <w:r w:rsidR="00F92FEC">
        <w:t xml:space="preserve"> </w:t>
      </w:r>
    </w:p>
    <w:p w14:paraId="62C25255" w14:textId="2AA53F13" w:rsidR="00F92FEC" w:rsidRDefault="008C376A" w:rsidP="00357C19">
      <w:r>
        <w:t xml:space="preserve">When I began this research, the Department for Transport’s statistics for England and Wales were as of March 2015. </w:t>
      </w:r>
      <w:r w:rsidR="00453B75">
        <w:t>During</w:t>
      </w:r>
      <w:r>
        <w:t xml:space="preserve"> my research, they released new statistics for March 2017. I therefore analysed the change.</w:t>
      </w:r>
    </w:p>
    <w:p w14:paraId="33BCB591" w14:textId="77777777" w:rsidR="00357C19" w:rsidRDefault="00357C19" w:rsidP="00357C19">
      <w:pPr>
        <w:pStyle w:val="Heading3"/>
      </w:pPr>
      <w:bookmarkStart w:id="33" w:name="_Toc488088760"/>
      <w:bookmarkStart w:id="34" w:name="_Toc488093148"/>
      <w:bookmarkStart w:id="35" w:name="_Toc525413980"/>
      <w:r>
        <w:t>Data for England, Scotland and Wales</w:t>
      </w:r>
      <w:bookmarkEnd w:id="33"/>
      <w:bookmarkEnd w:id="34"/>
      <w:bookmarkEnd w:id="35"/>
    </w:p>
    <w:p w14:paraId="698E422E" w14:textId="77777777" w:rsidR="00357C19" w:rsidRDefault="00357C19" w:rsidP="00357C19">
      <w:pPr>
        <w:pStyle w:val="ListParagraph"/>
        <w:numPr>
          <w:ilvl w:val="0"/>
          <w:numId w:val="19"/>
        </w:numPr>
      </w:pPr>
      <w:r>
        <w:t>The number of a</w:t>
      </w:r>
      <w:r w:rsidR="00F86495">
        <w:t xml:space="preserve">ccessible taxis licensed by each </w:t>
      </w:r>
      <w:r>
        <w:t>authority</w:t>
      </w:r>
    </w:p>
    <w:p w14:paraId="118DDBFF" w14:textId="77777777" w:rsidR="00357C19" w:rsidRDefault="00357C19" w:rsidP="00357C19">
      <w:pPr>
        <w:pStyle w:val="ListParagraph"/>
        <w:numPr>
          <w:ilvl w:val="0"/>
          <w:numId w:val="19"/>
        </w:numPr>
      </w:pPr>
      <w:r>
        <w:t>The proportion of taxis licensed by the authority that are wheelchair accessible</w:t>
      </w:r>
    </w:p>
    <w:p w14:paraId="0A3D6DBA" w14:textId="77777777" w:rsidR="00357C19" w:rsidRDefault="00357C19" w:rsidP="00357C19">
      <w:pPr>
        <w:pStyle w:val="ListParagraph"/>
        <w:numPr>
          <w:ilvl w:val="0"/>
          <w:numId w:val="19"/>
        </w:numPr>
      </w:pPr>
      <w:r>
        <w:t>The number of wheelchair accessible taxis per thousand population in the licensing authority’s area</w:t>
      </w:r>
    </w:p>
    <w:p w14:paraId="71A732DD" w14:textId="77777777" w:rsidR="00357C19" w:rsidRDefault="00357C19" w:rsidP="00357C19">
      <w:pPr>
        <w:pStyle w:val="Heading3"/>
      </w:pPr>
      <w:bookmarkStart w:id="36" w:name="_Toc488088761"/>
      <w:bookmarkStart w:id="37" w:name="_Toc488093149"/>
      <w:bookmarkStart w:id="38" w:name="_Toc525413981"/>
      <w:r>
        <w:t>Data for England and Wales only</w:t>
      </w:r>
      <w:bookmarkEnd w:id="36"/>
      <w:bookmarkEnd w:id="37"/>
      <w:bookmarkEnd w:id="38"/>
    </w:p>
    <w:p w14:paraId="36572E43" w14:textId="77777777" w:rsidR="00357C19" w:rsidRDefault="00A944CE" w:rsidP="00A944CE">
      <w:pPr>
        <w:pStyle w:val="ListParagraph"/>
        <w:numPr>
          <w:ilvl w:val="0"/>
          <w:numId w:val="20"/>
        </w:numPr>
      </w:pPr>
      <w:r>
        <w:t>Whether the licensing authority r</w:t>
      </w:r>
      <w:r w:rsidRPr="00A944CE">
        <w:t>equire</w:t>
      </w:r>
      <w:r>
        <w:t>s</w:t>
      </w:r>
      <w:r w:rsidRPr="00A944CE">
        <w:t xml:space="preserve"> </w:t>
      </w:r>
      <w:r>
        <w:t xml:space="preserve">some or all licensed taxis to be </w:t>
      </w:r>
      <w:r w:rsidRPr="00A944CE">
        <w:t>wheelchair accessible</w:t>
      </w:r>
    </w:p>
    <w:p w14:paraId="4996A26C" w14:textId="77777777" w:rsidR="00A944CE" w:rsidRDefault="00A944CE" w:rsidP="00A944CE">
      <w:pPr>
        <w:pStyle w:val="ListParagraph"/>
        <w:numPr>
          <w:ilvl w:val="0"/>
          <w:numId w:val="20"/>
        </w:numPr>
      </w:pPr>
      <w:r>
        <w:t>Whether the licensing authority obliges taxi drivers to undertake disability awareness training</w:t>
      </w:r>
    </w:p>
    <w:p w14:paraId="32E1DA28" w14:textId="77777777" w:rsidR="00A944CE" w:rsidRDefault="00A944CE" w:rsidP="00A944CE">
      <w:pPr>
        <w:pStyle w:val="Heading3"/>
      </w:pPr>
      <w:bookmarkStart w:id="39" w:name="_Toc488088762"/>
      <w:bookmarkStart w:id="40" w:name="_Toc488093150"/>
      <w:bookmarkStart w:id="41" w:name="_Toc525413982"/>
      <w:r>
        <w:lastRenderedPageBreak/>
        <w:t>Data for England only</w:t>
      </w:r>
      <w:bookmarkEnd w:id="39"/>
      <w:bookmarkEnd w:id="40"/>
      <w:bookmarkEnd w:id="41"/>
    </w:p>
    <w:p w14:paraId="1D7B10F7" w14:textId="1EC2144E" w:rsidR="00A944CE" w:rsidRDefault="00A944CE" w:rsidP="00A944CE">
      <w:pPr>
        <w:pStyle w:val="ListParagraph"/>
        <w:numPr>
          <w:ilvl w:val="0"/>
          <w:numId w:val="21"/>
        </w:numPr>
      </w:pPr>
      <w:r>
        <w:t>The Rural: Urban classification of each authority</w:t>
      </w:r>
      <w:r>
        <w:rPr>
          <w:rStyle w:val="EndnoteReference"/>
        </w:rPr>
        <w:endnoteReference w:id="7"/>
      </w:r>
      <w:r w:rsidR="003573C2">
        <w:t xml:space="preserve">. </w:t>
      </w:r>
    </w:p>
    <w:p w14:paraId="1546A4CE" w14:textId="77777777" w:rsidR="00A944CE" w:rsidRDefault="00A944CE" w:rsidP="00A944CE">
      <w:pPr>
        <w:pStyle w:val="Heading2"/>
      </w:pPr>
      <w:bookmarkStart w:id="42" w:name="_Toc488088763"/>
      <w:bookmarkStart w:id="43" w:name="_Toc488093151"/>
      <w:bookmarkStart w:id="44" w:name="_Toc525413983"/>
      <w:r>
        <w:t>Classification of Authorities</w:t>
      </w:r>
      <w:r w:rsidR="00152BEA">
        <w:t>’ Responses</w:t>
      </w:r>
      <w:bookmarkEnd w:id="42"/>
      <w:bookmarkEnd w:id="43"/>
      <w:bookmarkEnd w:id="44"/>
    </w:p>
    <w:p w14:paraId="522D3AD7" w14:textId="77777777" w:rsidR="00A944CE" w:rsidRDefault="00271CDF" w:rsidP="00A944CE">
      <w:r>
        <w:t>To</w:t>
      </w:r>
      <w:r w:rsidR="00A944CE">
        <w:t xml:space="preserve"> ease analysis, I classified each authority</w:t>
      </w:r>
      <w:r w:rsidR="00152BEA">
        <w:t>’s approach</w:t>
      </w:r>
      <w:r w:rsidR="005E4917">
        <w:t xml:space="preserve"> to S167</w:t>
      </w:r>
      <w:r w:rsidR="00152BEA">
        <w:t xml:space="preserve"> as revealed by my FOI request using the following rubric</w:t>
      </w:r>
      <w:r w:rsidR="00A944CE">
        <w:t>.</w:t>
      </w:r>
    </w:p>
    <w:p w14:paraId="2C37394D" w14:textId="77777777" w:rsidR="00A944CE" w:rsidRDefault="00A944CE" w:rsidP="00A944CE">
      <w:pPr>
        <w:pStyle w:val="Heading3"/>
      </w:pPr>
      <w:bookmarkStart w:id="45" w:name="_Toc488088764"/>
      <w:bookmarkStart w:id="46" w:name="_Toc488093152"/>
      <w:bookmarkStart w:id="47" w:name="_Toc525413984"/>
      <w:r>
        <w:t>S167 grade</w:t>
      </w:r>
      <w:bookmarkEnd w:id="45"/>
      <w:bookmarkEnd w:id="46"/>
      <w:bookmarkEnd w:id="47"/>
    </w:p>
    <w:tbl>
      <w:tblPr>
        <w:tblW w:w="7655" w:type="dxa"/>
        <w:jc w:val="center"/>
        <w:tblCellMar>
          <w:top w:w="15" w:type="dxa"/>
          <w:bottom w:w="15" w:type="dxa"/>
        </w:tblCellMar>
        <w:tblLook w:val="04A0" w:firstRow="1" w:lastRow="0" w:firstColumn="1" w:lastColumn="0" w:noHBand="0" w:noVBand="1"/>
      </w:tblPr>
      <w:tblGrid>
        <w:gridCol w:w="1340"/>
        <w:gridCol w:w="6315"/>
      </w:tblGrid>
      <w:tr w:rsidR="00A944CE" w:rsidRPr="00A944CE" w14:paraId="6BC1491D"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B0CC66"/>
            <w:noWrap/>
            <w:vAlign w:val="bottom"/>
            <w:hideMark/>
          </w:tcPr>
          <w:p w14:paraId="5D9E07BA" w14:textId="77777777" w:rsidR="00A944CE" w:rsidRPr="00A944CE" w:rsidRDefault="00A944CE" w:rsidP="00A944CE">
            <w:pPr>
              <w:spacing w:after="0" w:line="240" w:lineRule="auto"/>
              <w:jc w:val="center"/>
              <w:rPr>
                <w:rFonts w:ascii="Arial" w:eastAsia="Times New Roman" w:hAnsi="Arial" w:cs="Arial"/>
                <w:b/>
                <w:bCs/>
                <w:color w:val="375623"/>
                <w:sz w:val="20"/>
                <w:szCs w:val="20"/>
                <w:lang w:eastAsia="en-GB"/>
              </w:rPr>
            </w:pPr>
            <w:r w:rsidRPr="00A944CE">
              <w:rPr>
                <w:rFonts w:ascii="Arial" w:eastAsia="Times New Roman" w:hAnsi="Arial" w:cs="Arial"/>
                <w:b/>
                <w:bCs/>
                <w:color w:val="375623"/>
                <w:sz w:val="20"/>
                <w:szCs w:val="20"/>
                <w:lang w:eastAsia="en-GB"/>
              </w:rPr>
              <w:t>A</w:t>
            </w:r>
          </w:p>
        </w:tc>
        <w:tc>
          <w:tcPr>
            <w:tcW w:w="6315" w:type="dxa"/>
            <w:tcBorders>
              <w:top w:val="nil"/>
              <w:left w:val="nil"/>
              <w:bottom w:val="nil"/>
              <w:right w:val="nil"/>
            </w:tcBorders>
            <w:shd w:val="clear" w:color="FFFFCC" w:fill="FFFFFF"/>
            <w:noWrap/>
            <w:vAlign w:val="bottom"/>
            <w:hideMark/>
          </w:tcPr>
          <w:p w14:paraId="129B52B9" w14:textId="77777777" w:rsidR="00A944CE" w:rsidRPr="00A944CE" w:rsidRDefault="00152BEA" w:rsidP="00A944CE">
            <w:pPr>
              <w:spacing w:after="0" w:line="240" w:lineRule="auto"/>
              <w:jc w:val="lef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Authority has a valid</w:t>
            </w:r>
            <w:r w:rsidR="00A944CE" w:rsidRPr="00A944CE">
              <w:rPr>
                <w:rFonts w:ascii="Arial" w:eastAsia="Times New Roman" w:hAnsi="Arial" w:cs="Arial"/>
                <w:b/>
                <w:bCs/>
                <w:color w:val="000000"/>
                <w:sz w:val="20"/>
                <w:szCs w:val="20"/>
                <w:lang w:eastAsia="en-GB"/>
              </w:rPr>
              <w:t xml:space="preserve"> S167 list</w:t>
            </w:r>
          </w:p>
        </w:tc>
      </w:tr>
      <w:tr w:rsidR="00A944CE" w:rsidRPr="00A944CE" w14:paraId="553E16F9"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C1FFC1"/>
            <w:noWrap/>
            <w:vAlign w:val="bottom"/>
            <w:hideMark/>
          </w:tcPr>
          <w:p w14:paraId="711EC96E" w14:textId="77777777" w:rsidR="00A944CE" w:rsidRPr="00A944CE" w:rsidRDefault="00A944CE" w:rsidP="00A944CE">
            <w:pPr>
              <w:spacing w:after="0" w:line="240" w:lineRule="auto"/>
              <w:jc w:val="center"/>
              <w:rPr>
                <w:rFonts w:ascii="Arial" w:eastAsia="Times New Roman" w:hAnsi="Arial" w:cs="Arial"/>
                <w:b/>
                <w:bCs/>
                <w:color w:val="375623"/>
                <w:sz w:val="20"/>
                <w:szCs w:val="20"/>
                <w:lang w:eastAsia="en-GB"/>
              </w:rPr>
            </w:pPr>
            <w:r w:rsidRPr="00A944CE">
              <w:rPr>
                <w:rFonts w:ascii="Arial" w:eastAsia="Times New Roman" w:hAnsi="Arial" w:cs="Arial"/>
                <w:b/>
                <w:bCs/>
                <w:color w:val="375623"/>
                <w:sz w:val="20"/>
                <w:szCs w:val="20"/>
                <w:lang w:eastAsia="en-GB"/>
              </w:rPr>
              <w:t>B</w:t>
            </w:r>
          </w:p>
        </w:tc>
        <w:tc>
          <w:tcPr>
            <w:tcW w:w="6315" w:type="dxa"/>
            <w:tcBorders>
              <w:top w:val="nil"/>
              <w:left w:val="nil"/>
              <w:bottom w:val="nil"/>
              <w:right w:val="nil"/>
            </w:tcBorders>
            <w:shd w:val="clear" w:color="FFFFCC" w:fill="FFFFFF"/>
            <w:noWrap/>
            <w:vAlign w:val="bottom"/>
            <w:hideMark/>
          </w:tcPr>
          <w:p w14:paraId="45227061" w14:textId="4FC71EBD" w:rsidR="00A944CE" w:rsidRPr="00A944CE" w:rsidRDefault="00152BEA" w:rsidP="00A944CE">
            <w:pPr>
              <w:spacing w:after="0" w:line="240" w:lineRule="auto"/>
              <w:jc w:val="lef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Authority intends to p</w:t>
            </w:r>
            <w:r w:rsidR="00A944CE" w:rsidRPr="00A944CE">
              <w:rPr>
                <w:rFonts w:ascii="Arial" w:eastAsia="Times New Roman" w:hAnsi="Arial" w:cs="Arial"/>
                <w:b/>
                <w:bCs/>
                <w:color w:val="000000"/>
                <w:sz w:val="20"/>
                <w:szCs w:val="20"/>
                <w:lang w:eastAsia="en-GB"/>
              </w:rPr>
              <w:t>roduc</w:t>
            </w:r>
            <w:r>
              <w:rPr>
                <w:rFonts w:ascii="Arial" w:eastAsia="Times New Roman" w:hAnsi="Arial" w:cs="Arial"/>
                <w:b/>
                <w:bCs/>
                <w:color w:val="000000"/>
                <w:sz w:val="20"/>
                <w:szCs w:val="20"/>
                <w:lang w:eastAsia="en-GB"/>
              </w:rPr>
              <w:t>e</w:t>
            </w:r>
            <w:r w:rsidR="00A944CE" w:rsidRPr="00A944CE">
              <w:rPr>
                <w:rFonts w:ascii="Arial" w:eastAsia="Times New Roman" w:hAnsi="Arial" w:cs="Arial"/>
                <w:b/>
                <w:bCs/>
                <w:color w:val="000000"/>
                <w:sz w:val="20"/>
                <w:szCs w:val="20"/>
                <w:lang w:eastAsia="en-GB"/>
              </w:rPr>
              <w:t xml:space="preserve"> </w:t>
            </w:r>
            <w:r>
              <w:rPr>
                <w:rFonts w:ascii="Arial" w:eastAsia="Times New Roman" w:hAnsi="Arial" w:cs="Arial"/>
                <w:b/>
                <w:bCs/>
                <w:color w:val="000000"/>
                <w:sz w:val="20"/>
                <w:szCs w:val="20"/>
                <w:lang w:eastAsia="en-GB"/>
              </w:rPr>
              <w:t xml:space="preserve">a </w:t>
            </w:r>
            <w:r w:rsidR="00A944CE" w:rsidRPr="00A944CE">
              <w:rPr>
                <w:rFonts w:ascii="Arial" w:eastAsia="Times New Roman" w:hAnsi="Arial" w:cs="Arial"/>
                <w:b/>
                <w:bCs/>
                <w:color w:val="000000"/>
                <w:sz w:val="20"/>
                <w:szCs w:val="20"/>
                <w:lang w:eastAsia="en-GB"/>
              </w:rPr>
              <w:t xml:space="preserve">S167 list </w:t>
            </w:r>
            <w:r w:rsidR="008C376A">
              <w:rPr>
                <w:rFonts w:ascii="Arial" w:eastAsia="Times New Roman" w:hAnsi="Arial" w:cs="Arial"/>
                <w:b/>
                <w:bCs/>
                <w:color w:val="000000"/>
                <w:sz w:val="20"/>
                <w:szCs w:val="20"/>
                <w:lang w:eastAsia="en-GB"/>
              </w:rPr>
              <w:t>by April 2018</w:t>
            </w:r>
          </w:p>
        </w:tc>
      </w:tr>
      <w:tr w:rsidR="00A944CE" w:rsidRPr="00A944CE" w14:paraId="54478589"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FFFF66"/>
            <w:noWrap/>
            <w:vAlign w:val="bottom"/>
            <w:hideMark/>
          </w:tcPr>
          <w:p w14:paraId="4A043136" w14:textId="77777777" w:rsidR="00A944CE" w:rsidRPr="00A944CE" w:rsidRDefault="00A944CE" w:rsidP="00A944CE">
            <w:pPr>
              <w:spacing w:after="0" w:line="240" w:lineRule="auto"/>
              <w:jc w:val="center"/>
              <w:rPr>
                <w:rFonts w:ascii="Arial" w:eastAsia="Times New Roman" w:hAnsi="Arial" w:cs="Arial"/>
                <w:b/>
                <w:bCs/>
                <w:color w:val="806000"/>
                <w:sz w:val="20"/>
                <w:szCs w:val="20"/>
                <w:lang w:eastAsia="en-GB"/>
              </w:rPr>
            </w:pPr>
            <w:r w:rsidRPr="00A944CE">
              <w:rPr>
                <w:rFonts w:ascii="Arial" w:eastAsia="Times New Roman" w:hAnsi="Arial" w:cs="Arial"/>
                <w:b/>
                <w:bCs/>
                <w:color w:val="806000"/>
                <w:sz w:val="20"/>
                <w:szCs w:val="20"/>
                <w:lang w:eastAsia="en-GB"/>
              </w:rPr>
              <w:t>C</w:t>
            </w:r>
          </w:p>
        </w:tc>
        <w:tc>
          <w:tcPr>
            <w:tcW w:w="6315" w:type="dxa"/>
            <w:tcBorders>
              <w:top w:val="nil"/>
              <w:left w:val="nil"/>
              <w:bottom w:val="nil"/>
              <w:right w:val="nil"/>
            </w:tcBorders>
            <w:shd w:val="clear" w:color="FFFFCC" w:fill="FFFFFF"/>
            <w:noWrap/>
            <w:vAlign w:val="bottom"/>
            <w:hideMark/>
          </w:tcPr>
          <w:p w14:paraId="1DE0CDE5" w14:textId="77777777" w:rsidR="00A944CE" w:rsidRPr="00A944CE" w:rsidRDefault="00152BEA" w:rsidP="00A944CE">
            <w:pPr>
              <w:spacing w:after="0" w:line="240" w:lineRule="auto"/>
              <w:jc w:val="lef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Authority intends to p</w:t>
            </w:r>
            <w:r w:rsidR="00A944CE" w:rsidRPr="00A944CE">
              <w:rPr>
                <w:rFonts w:ascii="Arial" w:eastAsia="Times New Roman" w:hAnsi="Arial" w:cs="Arial"/>
                <w:b/>
                <w:bCs/>
                <w:color w:val="000000"/>
                <w:sz w:val="20"/>
                <w:szCs w:val="20"/>
                <w:lang w:eastAsia="en-GB"/>
              </w:rPr>
              <w:t>roduc</w:t>
            </w:r>
            <w:r>
              <w:rPr>
                <w:rFonts w:ascii="Arial" w:eastAsia="Times New Roman" w:hAnsi="Arial" w:cs="Arial"/>
                <w:b/>
                <w:bCs/>
                <w:color w:val="000000"/>
                <w:sz w:val="20"/>
                <w:szCs w:val="20"/>
                <w:lang w:eastAsia="en-GB"/>
              </w:rPr>
              <w:t>e</w:t>
            </w:r>
            <w:r w:rsidR="00A944CE" w:rsidRPr="00A944CE">
              <w:rPr>
                <w:rFonts w:ascii="Arial" w:eastAsia="Times New Roman" w:hAnsi="Arial" w:cs="Arial"/>
                <w:b/>
                <w:bCs/>
                <w:color w:val="000000"/>
                <w:sz w:val="20"/>
                <w:szCs w:val="20"/>
                <w:lang w:eastAsia="en-GB"/>
              </w:rPr>
              <w:t xml:space="preserve"> S167 list but </w:t>
            </w:r>
            <w:r>
              <w:rPr>
                <w:rFonts w:ascii="Arial" w:eastAsia="Times New Roman" w:hAnsi="Arial" w:cs="Arial"/>
                <w:b/>
                <w:bCs/>
                <w:color w:val="000000"/>
                <w:sz w:val="20"/>
                <w:szCs w:val="20"/>
                <w:lang w:eastAsia="en-GB"/>
              </w:rPr>
              <w:t xml:space="preserve">has </w:t>
            </w:r>
            <w:r w:rsidR="00A944CE" w:rsidRPr="00A944CE">
              <w:rPr>
                <w:rFonts w:ascii="Arial" w:eastAsia="Times New Roman" w:hAnsi="Arial" w:cs="Arial"/>
                <w:b/>
                <w:bCs/>
                <w:color w:val="000000"/>
                <w:sz w:val="20"/>
                <w:szCs w:val="20"/>
                <w:lang w:eastAsia="en-GB"/>
              </w:rPr>
              <w:t>no clear deadline</w:t>
            </w:r>
          </w:p>
        </w:tc>
      </w:tr>
      <w:tr w:rsidR="00A944CE" w:rsidRPr="00A944CE" w14:paraId="47FE2D3B"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FFC267"/>
            <w:noWrap/>
            <w:vAlign w:val="bottom"/>
            <w:hideMark/>
          </w:tcPr>
          <w:p w14:paraId="56DAAD36" w14:textId="77777777" w:rsidR="00A944CE" w:rsidRPr="00A944CE" w:rsidRDefault="00A944CE" w:rsidP="00A944CE">
            <w:pPr>
              <w:spacing w:after="0" w:line="240" w:lineRule="auto"/>
              <w:jc w:val="center"/>
              <w:rPr>
                <w:rFonts w:ascii="Arial" w:eastAsia="Times New Roman" w:hAnsi="Arial" w:cs="Arial"/>
                <w:b/>
                <w:bCs/>
                <w:color w:val="833C0C"/>
                <w:sz w:val="20"/>
                <w:szCs w:val="20"/>
                <w:lang w:eastAsia="en-GB"/>
              </w:rPr>
            </w:pPr>
            <w:r w:rsidRPr="00A944CE">
              <w:rPr>
                <w:rFonts w:ascii="Arial" w:eastAsia="Times New Roman" w:hAnsi="Arial" w:cs="Arial"/>
                <w:b/>
                <w:bCs/>
                <w:color w:val="833C0C"/>
                <w:sz w:val="20"/>
                <w:szCs w:val="20"/>
                <w:lang w:eastAsia="en-GB"/>
              </w:rPr>
              <w:t>D</w:t>
            </w:r>
          </w:p>
        </w:tc>
        <w:tc>
          <w:tcPr>
            <w:tcW w:w="6315" w:type="dxa"/>
            <w:tcBorders>
              <w:top w:val="nil"/>
              <w:left w:val="nil"/>
              <w:bottom w:val="nil"/>
              <w:right w:val="nil"/>
            </w:tcBorders>
            <w:shd w:val="clear" w:color="FFFFCC" w:fill="FFFFFF"/>
            <w:noWrap/>
            <w:vAlign w:val="bottom"/>
            <w:hideMark/>
          </w:tcPr>
          <w:p w14:paraId="1E33E5A8" w14:textId="77777777" w:rsidR="00A944CE" w:rsidRPr="00A944CE" w:rsidRDefault="00152BEA" w:rsidP="00A944CE">
            <w:pPr>
              <w:spacing w:after="0" w:line="240" w:lineRule="auto"/>
              <w:jc w:val="lef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Authority currently u</w:t>
            </w:r>
            <w:r w:rsidR="00A944CE" w:rsidRPr="00A944CE">
              <w:rPr>
                <w:rFonts w:ascii="Arial" w:eastAsia="Times New Roman" w:hAnsi="Arial" w:cs="Arial"/>
                <w:b/>
                <w:bCs/>
                <w:color w:val="000000"/>
                <w:sz w:val="20"/>
                <w:szCs w:val="20"/>
                <w:lang w:eastAsia="en-GB"/>
              </w:rPr>
              <w:t xml:space="preserve">ndecided whether </w:t>
            </w:r>
            <w:r>
              <w:rPr>
                <w:rFonts w:ascii="Arial" w:eastAsia="Times New Roman" w:hAnsi="Arial" w:cs="Arial"/>
                <w:b/>
                <w:bCs/>
                <w:color w:val="000000"/>
                <w:sz w:val="20"/>
                <w:szCs w:val="20"/>
                <w:lang w:eastAsia="en-GB"/>
              </w:rPr>
              <w:t xml:space="preserve">to </w:t>
            </w:r>
            <w:r w:rsidR="00A944CE" w:rsidRPr="00A944CE">
              <w:rPr>
                <w:rFonts w:ascii="Arial" w:eastAsia="Times New Roman" w:hAnsi="Arial" w:cs="Arial"/>
                <w:b/>
                <w:bCs/>
                <w:color w:val="000000"/>
                <w:sz w:val="20"/>
                <w:szCs w:val="20"/>
                <w:lang w:eastAsia="en-GB"/>
              </w:rPr>
              <w:t>produc</w:t>
            </w:r>
            <w:r>
              <w:rPr>
                <w:rFonts w:ascii="Arial" w:eastAsia="Times New Roman" w:hAnsi="Arial" w:cs="Arial"/>
                <w:b/>
                <w:bCs/>
                <w:color w:val="000000"/>
                <w:sz w:val="20"/>
                <w:szCs w:val="20"/>
                <w:lang w:eastAsia="en-GB"/>
              </w:rPr>
              <w:t>e a</w:t>
            </w:r>
            <w:r w:rsidR="00A944CE" w:rsidRPr="00A944CE">
              <w:rPr>
                <w:rFonts w:ascii="Arial" w:eastAsia="Times New Roman" w:hAnsi="Arial" w:cs="Arial"/>
                <w:b/>
                <w:bCs/>
                <w:color w:val="000000"/>
                <w:sz w:val="20"/>
                <w:szCs w:val="20"/>
                <w:lang w:eastAsia="en-GB"/>
              </w:rPr>
              <w:t xml:space="preserve"> S167 list</w:t>
            </w:r>
          </w:p>
        </w:tc>
      </w:tr>
      <w:tr w:rsidR="00A944CE" w:rsidRPr="00A944CE" w14:paraId="06430E3E"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FE7966"/>
            <w:noWrap/>
            <w:vAlign w:val="bottom"/>
            <w:hideMark/>
          </w:tcPr>
          <w:p w14:paraId="7D1A0A0B" w14:textId="77777777" w:rsidR="00A944CE" w:rsidRPr="00A944CE" w:rsidRDefault="00A944CE" w:rsidP="00A944CE">
            <w:pPr>
              <w:spacing w:after="0" w:line="240" w:lineRule="auto"/>
              <w:jc w:val="center"/>
              <w:rPr>
                <w:rFonts w:ascii="Arial" w:eastAsia="Times New Roman" w:hAnsi="Arial" w:cs="Arial"/>
                <w:b/>
                <w:bCs/>
                <w:color w:val="161616"/>
                <w:sz w:val="20"/>
                <w:szCs w:val="20"/>
                <w:lang w:eastAsia="en-GB"/>
              </w:rPr>
            </w:pPr>
            <w:r w:rsidRPr="00A944CE">
              <w:rPr>
                <w:rFonts w:ascii="Arial" w:eastAsia="Times New Roman" w:hAnsi="Arial" w:cs="Arial"/>
                <w:b/>
                <w:bCs/>
                <w:color w:val="161616"/>
                <w:sz w:val="20"/>
                <w:szCs w:val="20"/>
                <w:lang w:eastAsia="en-GB"/>
              </w:rPr>
              <w:t>E</w:t>
            </w:r>
          </w:p>
        </w:tc>
        <w:tc>
          <w:tcPr>
            <w:tcW w:w="6315" w:type="dxa"/>
            <w:tcBorders>
              <w:top w:val="nil"/>
              <w:left w:val="nil"/>
              <w:bottom w:val="nil"/>
              <w:right w:val="nil"/>
            </w:tcBorders>
            <w:shd w:val="clear" w:color="FFFFCC" w:fill="FFFFFF"/>
            <w:noWrap/>
            <w:vAlign w:val="bottom"/>
            <w:hideMark/>
          </w:tcPr>
          <w:p w14:paraId="6B00517D" w14:textId="77777777" w:rsidR="00A944CE" w:rsidRPr="00A944CE" w:rsidRDefault="00152BEA" w:rsidP="00C00560">
            <w:pPr>
              <w:keepNext/>
              <w:spacing w:after="0" w:line="240" w:lineRule="auto"/>
              <w:jc w:val="lef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Authority has n</w:t>
            </w:r>
            <w:r w:rsidR="00A944CE" w:rsidRPr="00A944CE">
              <w:rPr>
                <w:rFonts w:ascii="Arial" w:eastAsia="Times New Roman" w:hAnsi="Arial" w:cs="Arial"/>
                <w:b/>
                <w:bCs/>
                <w:color w:val="000000"/>
                <w:sz w:val="20"/>
                <w:szCs w:val="20"/>
                <w:lang w:eastAsia="en-GB"/>
              </w:rPr>
              <w:t>o current plans to produce</w:t>
            </w:r>
            <w:r w:rsidR="00C1175C">
              <w:rPr>
                <w:rFonts w:ascii="Arial" w:eastAsia="Times New Roman" w:hAnsi="Arial" w:cs="Arial"/>
                <w:b/>
                <w:bCs/>
                <w:color w:val="000000"/>
                <w:sz w:val="20"/>
                <w:szCs w:val="20"/>
                <w:lang w:eastAsia="en-GB"/>
              </w:rPr>
              <w:t xml:space="preserve"> a</w:t>
            </w:r>
            <w:r w:rsidR="00A944CE" w:rsidRPr="00A944CE">
              <w:rPr>
                <w:rFonts w:ascii="Arial" w:eastAsia="Times New Roman" w:hAnsi="Arial" w:cs="Arial"/>
                <w:b/>
                <w:bCs/>
                <w:color w:val="000000"/>
                <w:sz w:val="20"/>
                <w:szCs w:val="20"/>
                <w:lang w:eastAsia="en-GB"/>
              </w:rPr>
              <w:t xml:space="preserve"> S167 list</w:t>
            </w:r>
          </w:p>
        </w:tc>
      </w:tr>
    </w:tbl>
    <w:p w14:paraId="55860E4E" w14:textId="0585B095" w:rsidR="00A944CE" w:rsidRDefault="00C00560" w:rsidP="00B477A2">
      <w:pPr>
        <w:pStyle w:val="Caption"/>
      </w:pPr>
      <w:bookmarkStart w:id="48" w:name="_Toc488083828"/>
      <w:bookmarkStart w:id="49" w:name="_Toc525406992"/>
      <w:r>
        <w:t xml:space="preserve">Table </w:t>
      </w:r>
      <w:r w:rsidR="00427FDC">
        <w:rPr>
          <w:noProof/>
        </w:rPr>
        <w:fldChar w:fldCharType="begin"/>
      </w:r>
      <w:r w:rsidR="00427FDC">
        <w:rPr>
          <w:noProof/>
        </w:rPr>
        <w:instrText xml:space="preserve"> SEQ Table \* ARABIC </w:instrText>
      </w:r>
      <w:r w:rsidR="00427FDC">
        <w:rPr>
          <w:noProof/>
        </w:rPr>
        <w:fldChar w:fldCharType="separate"/>
      </w:r>
      <w:r w:rsidR="00247F48">
        <w:rPr>
          <w:noProof/>
        </w:rPr>
        <w:t>1</w:t>
      </w:r>
      <w:r w:rsidR="00427FDC">
        <w:rPr>
          <w:noProof/>
        </w:rPr>
        <w:fldChar w:fldCharType="end"/>
      </w:r>
      <w:r>
        <w:t xml:space="preserve"> - S167 grade</w:t>
      </w:r>
      <w:bookmarkEnd w:id="48"/>
      <w:bookmarkEnd w:id="49"/>
    </w:p>
    <w:p w14:paraId="6D16B2A7" w14:textId="7EF0D2A0" w:rsidR="00EB482B" w:rsidRPr="00220F81" w:rsidRDefault="008C376A" w:rsidP="008C376A">
      <w:r>
        <w:t xml:space="preserve">Category B was not relevant to my FOI requests sent after April 2018, but I kept the same categories for consistency. </w:t>
      </w:r>
      <w:r w:rsidR="00C948B8">
        <w:t>Th</w:t>
      </w:r>
      <w:r>
        <w:t>e categorisation</w:t>
      </w:r>
      <w:r w:rsidR="00C948B8">
        <w:t xml:space="preserve"> process is inevitably </w:t>
      </w:r>
      <w:r w:rsidR="00453B75">
        <w:t>subjective and</w:t>
      </w:r>
      <w:r>
        <w:t xml:space="preserve"> required me to exercise discretion. </w:t>
      </w:r>
    </w:p>
    <w:p w14:paraId="5001F0A8" w14:textId="77777777" w:rsidR="00357C19" w:rsidRDefault="00A944CE" w:rsidP="006820F3">
      <w:r>
        <w:t>For a coarse binary indication</w:t>
      </w:r>
      <w:r w:rsidR="00204990">
        <w:t xml:space="preserve"> of</w:t>
      </w:r>
      <w:r w:rsidR="002B00B9">
        <w:t xml:space="preserve"> </w:t>
      </w:r>
      <w:r w:rsidR="00203081">
        <w:t>authorities’ approach to S167,</w:t>
      </w:r>
      <w:r w:rsidR="00204990">
        <w:t xml:space="preserve"> </w:t>
      </w:r>
      <w:r>
        <w:t>I split councils as follows:</w:t>
      </w:r>
    </w:p>
    <w:p w14:paraId="757A3AFD" w14:textId="653778EB" w:rsidR="00204990" w:rsidRPr="00204990" w:rsidRDefault="00204990" w:rsidP="006820F3">
      <w:pPr>
        <w:rPr>
          <w:b/>
        </w:rPr>
      </w:pPr>
      <w:r w:rsidRPr="00204990">
        <w:rPr>
          <w:b/>
        </w:rPr>
        <w:t xml:space="preserve">S167 </w:t>
      </w:r>
      <w:r w:rsidR="00757AEE">
        <w:rPr>
          <w:b/>
        </w:rPr>
        <w:t>status</w:t>
      </w:r>
    </w:p>
    <w:tbl>
      <w:tblPr>
        <w:tblW w:w="9356" w:type="dxa"/>
        <w:tblCellMar>
          <w:top w:w="15" w:type="dxa"/>
          <w:bottom w:w="15" w:type="dxa"/>
        </w:tblCellMar>
        <w:tblLook w:val="04A0" w:firstRow="1" w:lastRow="0" w:firstColumn="1" w:lastColumn="0" w:noHBand="0" w:noVBand="1"/>
      </w:tblPr>
      <w:tblGrid>
        <w:gridCol w:w="1340"/>
        <w:gridCol w:w="7732"/>
        <w:gridCol w:w="284"/>
      </w:tblGrid>
      <w:tr w:rsidR="00204990" w:rsidRPr="00204990" w14:paraId="436662D0" w14:textId="77777777" w:rsidTr="00D97805">
        <w:trPr>
          <w:trHeight w:val="255"/>
        </w:trPr>
        <w:tc>
          <w:tcPr>
            <w:tcW w:w="1340" w:type="dxa"/>
            <w:tcBorders>
              <w:top w:val="nil"/>
              <w:left w:val="nil"/>
              <w:bottom w:val="nil"/>
              <w:right w:val="nil"/>
            </w:tcBorders>
            <w:shd w:val="clear" w:color="FFFFCC" w:fill="99BD66"/>
            <w:noWrap/>
            <w:vAlign w:val="center"/>
            <w:hideMark/>
          </w:tcPr>
          <w:p w14:paraId="6D35F391" w14:textId="77777777" w:rsidR="00204990" w:rsidRPr="00204990" w:rsidRDefault="00204990" w:rsidP="00D97805">
            <w:pPr>
              <w:spacing w:after="0" w:line="240" w:lineRule="auto"/>
              <w:jc w:val="center"/>
              <w:rPr>
                <w:rFonts w:ascii="Arial" w:eastAsia="Times New Roman" w:hAnsi="Arial" w:cs="Arial"/>
                <w:b/>
                <w:bCs/>
                <w:color w:val="000000"/>
                <w:sz w:val="20"/>
                <w:szCs w:val="20"/>
                <w:lang w:eastAsia="en-GB"/>
              </w:rPr>
            </w:pPr>
            <w:r w:rsidRPr="00204990">
              <w:rPr>
                <w:rFonts w:ascii="Arial" w:eastAsia="Times New Roman" w:hAnsi="Arial" w:cs="Arial"/>
                <w:b/>
                <w:bCs/>
                <w:color w:val="000000"/>
                <w:sz w:val="20"/>
                <w:szCs w:val="20"/>
                <w:lang w:eastAsia="en-GB"/>
              </w:rPr>
              <w:t>Yes</w:t>
            </w:r>
          </w:p>
        </w:tc>
        <w:tc>
          <w:tcPr>
            <w:tcW w:w="8016" w:type="dxa"/>
            <w:gridSpan w:val="2"/>
            <w:tcBorders>
              <w:top w:val="nil"/>
              <w:left w:val="nil"/>
              <w:bottom w:val="nil"/>
              <w:right w:val="nil"/>
            </w:tcBorders>
            <w:shd w:val="clear" w:color="FFFFCC" w:fill="FFFFFF"/>
            <w:noWrap/>
            <w:vAlign w:val="bottom"/>
            <w:hideMark/>
          </w:tcPr>
          <w:p w14:paraId="7FA3A10D" w14:textId="1DF741D8" w:rsidR="00204990" w:rsidRPr="00B477A2" w:rsidRDefault="00D97805" w:rsidP="00204990">
            <w:pPr>
              <w:spacing w:after="0" w:line="240" w:lineRule="auto"/>
              <w:jc w:val="left"/>
              <w:rPr>
                <w:rFonts w:ascii="Arial" w:eastAsia="Times New Roman" w:hAnsi="Arial" w:cs="Arial"/>
                <w:b/>
                <w:bCs/>
                <w:color w:val="000000"/>
                <w:sz w:val="20"/>
                <w:szCs w:val="20"/>
                <w:lang w:eastAsia="en-GB"/>
              </w:rPr>
            </w:pPr>
            <w:r w:rsidRPr="00B477A2">
              <w:rPr>
                <w:rFonts w:ascii="Arial" w:eastAsia="Times New Roman" w:hAnsi="Arial" w:cs="Arial"/>
                <w:b/>
                <w:bCs/>
                <w:color w:val="000000"/>
                <w:sz w:val="20"/>
                <w:szCs w:val="20"/>
                <w:lang w:eastAsia="en-GB"/>
              </w:rPr>
              <w:t xml:space="preserve">Authority </w:t>
            </w:r>
            <w:r w:rsidR="00204990" w:rsidRPr="00B477A2">
              <w:rPr>
                <w:rFonts w:ascii="Arial" w:eastAsia="Times New Roman" w:hAnsi="Arial" w:cs="Arial"/>
                <w:b/>
                <w:bCs/>
                <w:color w:val="000000"/>
                <w:sz w:val="20"/>
                <w:szCs w:val="20"/>
                <w:lang w:eastAsia="en-GB"/>
              </w:rPr>
              <w:t>ha</w:t>
            </w:r>
            <w:r w:rsidRPr="00B477A2">
              <w:rPr>
                <w:rFonts w:ascii="Arial" w:eastAsia="Times New Roman" w:hAnsi="Arial" w:cs="Arial"/>
                <w:b/>
                <w:bCs/>
                <w:color w:val="000000"/>
                <w:sz w:val="20"/>
                <w:szCs w:val="20"/>
                <w:lang w:eastAsia="en-GB"/>
              </w:rPr>
              <w:t>s</w:t>
            </w:r>
            <w:r w:rsidR="00204990" w:rsidRPr="00B477A2">
              <w:rPr>
                <w:rFonts w:ascii="Arial" w:eastAsia="Times New Roman" w:hAnsi="Arial" w:cs="Arial"/>
                <w:b/>
                <w:bCs/>
                <w:color w:val="000000"/>
                <w:sz w:val="20"/>
                <w:szCs w:val="20"/>
                <w:lang w:eastAsia="en-GB"/>
              </w:rPr>
              <w:t xml:space="preserve"> a </w:t>
            </w:r>
            <w:r w:rsidRPr="00B477A2">
              <w:rPr>
                <w:rFonts w:ascii="Arial" w:eastAsia="Times New Roman" w:hAnsi="Arial" w:cs="Arial"/>
                <w:b/>
                <w:bCs/>
                <w:color w:val="000000"/>
                <w:sz w:val="20"/>
                <w:szCs w:val="20"/>
                <w:lang w:eastAsia="en-GB"/>
              </w:rPr>
              <w:t xml:space="preserve">current </w:t>
            </w:r>
            <w:r w:rsidR="00204990" w:rsidRPr="00B477A2">
              <w:rPr>
                <w:rFonts w:ascii="Arial" w:eastAsia="Times New Roman" w:hAnsi="Arial" w:cs="Arial"/>
                <w:b/>
                <w:bCs/>
                <w:color w:val="000000"/>
                <w:sz w:val="20"/>
                <w:szCs w:val="20"/>
                <w:lang w:eastAsia="en-GB"/>
              </w:rPr>
              <w:t>S167 list (</w:t>
            </w:r>
            <w:r w:rsidRPr="00B477A2">
              <w:rPr>
                <w:rFonts w:ascii="Arial" w:eastAsia="Times New Roman" w:hAnsi="Arial" w:cs="Arial"/>
                <w:b/>
                <w:bCs/>
                <w:color w:val="000000"/>
                <w:sz w:val="20"/>
                <w:szCs w:val="20"/>
                <w:lang w:eastAsia="en-GB"/>
              </w:rPr>
              <w:t xml:space="preserve">S167 grade </w:t>
            </w:r>
            <w:r w:rsidR="00204990" w:rsidRPr="00B477A2">
              <w:rPr>
                <w:rFonts w:ascii="Arial" w:eastAsia="Times New Roman" w:hAnsi="Arial" w:cs="Arial"/>
                <w:b/>
                <w:bCs/>
                <w:color w:val="000000"/>
                <w:sz w:val="20"/>
                <w:szCs w:val="20"/>
                <w:lang w:eastAsia="en-GB"/>
              </w:rPr>
              <w:t>A</w:t>
            </w:r>
            <w:r w:rsidR="00757AEE">
              <w:rPr>
                <w:rFonts w:ascii="Arial" w:eastAsia="Times New Roman" w:hAnsi="Arial" w:cs="Arial"/>
                <w:b/>
                <w:bCs/>
                <w:color w:val="000000"/>
                <w:sz w:val="20"/>
                <w:szCs w:val="20"/>
                <w:lang w:eastAsia="en-GB"/>
              </w:rPr>
              <w:t>)</w:t>
            </w:r>
          </w:p>
        </w:tc>
      </w:tr>
      <w:tr w:rsidR="00204990" w:rsidRPr="00204990" w14:paraId="022AD09E" w14:textId="77777777" w:rsidTr="00D97805">
        <w:trPr>
          <w:trHeight w:val="255"/>
        </w:trPr>
        <w:tc>
          <w:tcPr>
            <w:tcW w:w="1340" w:type="dxa"/>
            <w:tcBorders>
              <w:top w:val="nil"/>
              <w:left w:val="nil"/>
              <w:bottom w:val="nil"/>
              <w:right w:val="nil"/>
            </w:tcBorders>
            <w:shd w:val="clear" w:color="FFFFCC" w:fill="FF7D67"/>
            <w:noWrap/>
            <w:vAlign w:val="center"/>
            <w:hideMark/>
          </w:tcPr>
          <w:p w14:paraId="49E99F67" w14:textId="77777777" w:rsidR="00204990" w:rsidRPr="00204990" w:rsidRDefault="00204990" w:rsidP="00D97805">
            <w:pPr>
              <w:spacing w:after="0" w:line="240" w:lineRule="auto"/>
              <w:jc w:val="center"/>
              <w:rPr>
                <w:rFonts w:ascii="Arial" w:eastAsia="Times New Roman" w:hAnsi="Arial" w:cs="Arial"/>
                <w:b/>
                <w:bCs/>
                <w:color w:val="000000"/>
                <w:sz w:val="20"/>
                <w:szCs w:val="20"/>
                <w:lang w:eastAsia="en-GB"/>
              </w:rPr>
            </w:pPr>
            <w:r w:rsidRPr="00204990">
              <w:rPr>
                <w:rFonts w:ascii="Arial" w:eastAsia="Times New Roman" w:hAnsi="Arial" w:cs="Arial"/>
                <w:b/>
                <w:bCs/>
                <w:color w:val="000000"/>
                <w:sz w:val="20"/>
                <w:szCs w:val="20"/>
                <w:lang w:eastAsia="en-GB"/>
              </w:rPr>
              <w:t>No</w:t>
            </w:r>
          </w:p>
        </w:tc>
        <w:tc>
          <w:tcPr>
            <w:tcW w:w="7732" w:type="dxa"/>
            <w:tcBorders>
              <w:top w:val="nil"/>
              <w:left w:val="nil"/>
              <w:bottom w:val="nil"/>
              <w:right w:val="nil"/>
            </w:tcBorders>
            <w:shd w:val="clear" w:color="FFFFCC" w:fill="FFFFFF"/>
            <w:noWrap/>
            <w:vAlign w:val="bottom"/>
            <w:hideMark/>
          </w:tcPr>
          <w:p w14:paraId="22950418" w14:textId="2508B08B" w:rsidR="00204990" w:rsidRPr="00B477A2" w:rsidRDefault="00D97805" w:rsidP="00204990">
            <w:pPr>
              <w:spacing w:after="0" w:line="240" w:lineRule="auto"/>
              <w:jc w:val="left"/>
              <w:rPr>
                <w:rFonts w:ascii="Arial" w:eastAsia="Times New Roman" w:hAnsi="Arial" w:cs="Arial"/>
                <w:b/>
                <w:bCs/>
                <w:color w:val="000000"/>
                <w:sz w:val="20"/>
                <w:szCs w:val="20"/>
                <w:lang w:eastAsia="en-GB"/>
              </w:rPr>
            </w:pPr>
            <w:r w:rsidRPr="00B477A2">
              <w:rPr>
                <w:rFonts w:ascii="Arial" w:eastAsia="Times New Roman" w:hAnsi="Arial" w:cs="Arial"/>
                <w:b/>
                <w:bCs/>
                <w:color w:val="000000"/>
                <w:sz w:val="20"/>
                <w:szCs w:val="20"/>
                <w:lang w:eastAsia="en-GB"/>
              </w:rPr>
              <w:t xml:space="preserve">Authority </w:t>
            </w:r>
            <w:r w:rsidR="00664069">
              <w:rPr>
                <w:rFonts w:ascii="Arial" w:eastAsia="Times New Roman" w:hAnsi="Arial" w:cs="Arial"/>
                <w:b/>
                <w:bCs/>
                <w:color w:val="000000"/>
                <w:sz w:val="20"/>
                <w:szCs w:val="20"/>
                <w:lang w:eastAsia="en-GB"/>
              </w:rPr>
              <w:t>does not</w:t>
            </w:r>
            <w:r w:rsidR="00757AEE">
              <w:rPr>
                <w:rFonts w:ascii="Arial" w:eastAsia="Times New Roman" w:hAnsi="Arial" w:cs="Arial"/>
                <w:b/>
                <w:bCs/>
                <w:color w:val="000000"/>
                <w:sz w:val="20"/>
                <w:szCs w:val="20"/>
                <w:lang w:eastAsia="en-GB"/>
              </w:rPr>
              <w:t xml:space="preserve"> have </w:t>
            </w:r>
            <w:r w:rsidRPr="00B477A2">
              <w:rPr>
                <w:rFonts w:ascii="Arial" w:eastAsia="Times New Roman" w:hAnsi="Arial" w:cs="Arial"/>
                <w:b/>
                <w:bCs/>
                <w:color w:val="000000"/>
                <w:sz w:val="20"/>
                <w:szCs w:val="20"/>
                <w:lang w:eastAsia="en-GB"/>
              </w:rPr>
              <w:t>a S167 list</w:t>
            </w:r>
            <w:r w:rsidR="00757AEE">
              <w:rPr>
                <w:rFonts w:ascii="Arial" w:eastAsia="Times New Roman" w:hAnsi="Arial" w:cs="Arial"/>
                <w:b/>
                <w:bCs/>
                <w:color w:val="000000"/>
                <w:sz w:val="20"/>
                <w:szCs w:val="20"/>
                <w:lang w:eastAsia="en-GB"/>
              </w:rPr>
              <w:t xml:space="preserve"> </w:t>
            </w:r>
            <w:r w:rsidRPr="00B477A2">
              <w:rPr>
                <w:rFonts w:ascii="Arial" w:eastAsia="Times New Roman" w:hAnsi="Arial" w:cs="Arial"/>
                <w:b/>
                <w:bCs/>
                <w:color w:val="000000"/>
                <w:sz w:val="20"/>
                <w:szCs w:val="20"/>
                <w:lang w:eastAsia="en-GB"/>
              </w:rPr>
              <w:t>(S167 grades C, D or E)</w:t>
            </w:r>
          </w:p>
        </w:tc>
        <w:tc>
          <w:tcPr>
            <w:tcW w:w="284" w:type="dxa"/>
            <w:tcBorders>
              <w:top w:val="nil"/>
              <w:left w:val="nil"/>
              <w:bottom w:val="nil"/>
              <w:right w:val="nil"/>
            </w:tcBorders>
            <w:shd w:val="clear" w:color="FFFFCC" w:fill="FFFFFF"/>
            <w:noWrap/>
            <w:vAlign w:val="bottom"/>
            <w:hideMark/>
          </w:tcPr>
          <w:p w14:paraId="49CABFBF" w14:textId="77777777" w:rsidR="00204990" w:rsidRPr="00204990" w:rsidRDefault="00204990" w:rsidP="00C00560">
            <w:pPr>
              <w:keepNext/>
              <w:spacing w:after="0" w:line="240" w:lineRule="auto"/>
              <w:jc w:val="left"/>
              <w:rPr>
                <w:rFonts w:ascii="Arial" w:eastAsia="Times New Roman" w:hAnsi="Arial" w:cs="Arial"/>
                <w:b/>
                <w:bCs/>
                <w:color w:val="000000"/>
                <w:sz w:val="20"/>
                <w:szCs w:val="20"/>
                <w:lang w:eastAsia="en-GB"/>
              </w:rPr>
            </w:pPr>
          </w:p>
        </w:tc>
      </w:tr>
    </w:tbl>
    <w:p w14:paraId="6F44BF95" w14:textId="18C56B43" w:rsidR="00C00560" w:rsidRDefault="00C00560" w:rsidP="00B477A2">
      <w:pPr>
        <w:pStyle w:val="Caption"/>
      </w:pPr>
      <w:bookmarkStart w:id="50" w:name="_Toc488083829"/>
      <w:bookmarkStart w:id="51" w:name="_Toc525406993"/>
      <w:r>
        <w:t xml:space="preserve">Table </w:t>
      </w:r>
      <w:r w:rsidR="00427FDC">
        <w:rPr>
          <w:noProof/>
        </w:rPr>
        <w:fldChar w:fldCharType="begin"/>
      </w:r>
      <w:r w:rsidR="00427FDC">
        <w:rPr>
          <w:noProof/>
        </w:rPr>
        <w:instrText xml:space="preserve"> SEQ Table \* ARABIC </w:instrText>
      </w:r>
      <w:r w:rsidR="00427FDC">
        <w:rPr>
          <w:noProof/>
        </w:rPr>
        <w:fldChar w:fldCharType="separate"/>
      </w:r>
      <w:r w:rsidR="00247F48">
        <w:rPr>
          <w:noProof/>
        </w:rPr>
        <w:t>2</w:t>
      </w:r>
      <w:r w:rsidR="00427FDC">
        <w:rPr>
          <w:noProof/>
        </w:rPr>
        <w:fldChar w:fldCharType="end"/>
      </w:r>
      <w:r>
        <w:t xml:space="preserve"> – S167 intent</w:t>
      </w:r>
      <w:bookmarkEnd w:id="50"/>
      <w:bookmarkEnd w:id="51"/>
    </w:p>
    <w:p w14:paraId="2F50B7CB" w14:textId="77777777" w:rsidR="0027178F" w:rsidRDefault="0027178F" w:rsidP="0027178F">
      <w:pPr>
        <w:pStyle w:val="Heading2"/>
      </w:pPr>
      <w:bookmarkStart w:id="52" w:name="_Toc488088766"/>
      <w:bookmarkStart w:id="53" w:name="_Toc488093154"/>
      <w:bookmarkStart w:id="54" w:name="_Toc525413985"/>
      <w:r>
        <w:t>Analysis</w:t>
      </w:r>
      <w:bookmarkEnd w:id="52"/>
      <w:bookmarkEnd w:id="53"/>
      <w:bookmarkEnd w:id="54"/>
    </w:p>
    <w:p w14:paraId="46A7B2A6" w14:textId="2A7D5004" w:rsidR="0027178F" w:rsidRPr="0027178F" w:rsidRDefault="0027178F" w:rsidP="0027178F">
      <w:r>
        <w:t xml:space="preserve">I then undertook statistical analysis of the data collected </w:t>
      </w:r>
      <w:r w:rsidR="00B50333">
        <w:t>via Freedom of Information requests,</w:t>
      </w:r>
      <w:r>
        <w:t xml:space="preserve"> together with the data provided by the Department for Transport and by Transport Scotland, to </w:t>
      </w:r>
      <w:r w:rsidR="00664069">
        <w:t>show</w:t>
      </w:r>
      <w:r>
        <w:t xml:space="preserve"> common trends.</w:t>
      </w:r>
    </w:p>
    <w:p w14:paraId="2A7D6438" w14:textId="77777777" w:rsidR="009F174B" w:rsidRDefault="009F174B" w:rsidP="009F174B">
      <w:r>
        <w:br w:type="page"/>
      </w:r>
    </w:p>
    <w:p w14:paraId="277A90FC" w14:textId="77777777" w:rsidR="00204990" w:rsidRDefault="009F174B" w:rsidP="009F174B">
      <w:pPr>
        <w:pStyle w:val="Heading1"/>
      </w:pPr>
      <w:bookmarkStart w:id="55" w:name="_Toc488088767"/>
      <w:bookmarkStart w:id="56" w:name="_Toc488093155"/>
      <w:bookmarkStart w:id="57" w:name="_Toc525413986"/>
      <w:r>
        <w:lastRenderedPageBreak/>
        <w:t>Results</w:t>
      </w:r>
      <w:bookmarkEnd w:id="55"/>
      <w:bookmarkEnd w:id="56"/>
      <w:bookmarkEnd w:id="57"/>
    </w:p>
    <w:p w14:paraId="2418E8D1" w14:textId="77777777" w:rsidR="00386E1A" w:rsidRPr="00386E1A" w:rsidRDefault="00386E1A" w:rsidP="00386E1A">
      <w:pPr>
        <w:pStyle w:val="Heading2"/>
        <w:numPr>
          <w:ilvl w:val="0"/>
          <w:numId w:val="25"/>
        </w:numPr>
      </w:pPr>
      <w:bookmarkStart w:id="58" w:name="_Toc488088768"/>
      <w:bookmarkStart w:id="59" w:name="_Toc488093156"/>
      <w:bookmarkStart w:id="60" w:name="_Toc525413987"/>
      <w:r>
        <w:t>Accompanying spreadsheet</w:t>
      </w:r>
      <w:bookmarkEnd w:id="58"/>
      <w:bookmarkEnd w:id="59"/>
      <w:bookmarkEnd w:id="60"/>
    </w:p>
    <w:p w14:paraId="6AA86886" w14:textId="3BD2D5D2" w:rsidR="00386E1A" w:rsidRDefault="00386E1A" w:rsidP="009F174B">
      <w:r>
        <w:t xml:space="preserve">The </w:t>
      </w:r>
      <w:r w:rsidR="00637693">
        <w:t>data tables</w:t>
      </w:r>
      <w:r>
        <w:t xml:space="preserve">, statistical analysis, charts and maps are available in </w:t>
      </w:r>
      <w:r w:rsidRPr="00D60FCE">
        <w:rPr>
          <w:color w:val="2C2C2C" w:themeColor="text1"/>
        </w:rPr>
        <w:t xml:space="preserve">the </w:t>
      </w:r>
      <w:hyperlink r:id="rId19" w:tooltip="S167 research page on Doug Paulley's website" w:history="1">
        <w:r w:rsidRPr="00D60FCE">
          <w:rPr>
            <w:rStyle w:val="Hyperlink"/>
          </w:rPr>
          <w:t>accompanying spreadsheet</w:t>
        </w:r>
      </w:hyperlink>
      <w:r>
        <w:rPr>
          <w:rStyle w:val="EndnoteReference"/>
        </w:rPr>
        <w:endnoteReference w:id="8"/>
      </w:r>
      <w:r>
        <w:t>.</w:t>
      </w:r>
    </w:p>
    <w:p w14:paraId="07891A2B" w14:textId="4C28379E" w:rsidR="00386E1A" w:rsidRDefault="00757AEE" w:rsidP="009F174B">
      <w:r>
        <w:t xml:space="preserve">I am still awaiting full responses in 3 of the 1,100+ FOI requests. </w:t>
      </w:r>
      <w:r w:rsidR="00386E1A">
        <w:t xml:space="preserve">As the remaining data comes in, I shall update the </w:t>
      </w:r>
      <w:r w:rsidR="00D97805">
        <w:t xml:space="preserve">accompanying </w:t>
      </w:r>
      <w:r w:rsidR="00386E1A">
        <w:t>spreadsheet</w:t>
      </w:r>
      <w:r w:rsidR="00D97805">
        <w:t>,</w:t>
      </w:r>
      <w:r w:rsidR="00386E1A">
        <w:t xml:space="preserve"> but not this report. For the full </w:t>
      </w:r>
      <w:r w:rsidR="004B44D4">
        <w:t xml:space="preserve">and up to date </w:t>
      </w:r>
      <w:r w:rsidR="00386E1A">
        <w:t>results</w:t>
      </w:r>
      <w:r w:rsidR="004B44D4">
        <w:t>, data and calculations</w:t>
      </w:r>
      <w:r w:rsidR="00386E1A">
        <w:t>, please examine the spreadsheet.</w:t>
      </w:r>
    </w:p>
    <w:p w14:paraId="31BDA004" w14:textId="35A2AE85" w:rsidR="00386E1A" w:rsidRDefault="00386E1A" w:rsidP="00386E1A">
      <w:pPr>
        <w:pStyle w:val="Heading2"/>
      </w:pPr>
      <w:bookmarkStart w:id="61" w:name="_Toc488088769"/>
      <w:bookmarkStart w:id="62" w:name="_Toc488093157"/>
      <w:bookmarkStart w:id="63" w:name="_Toc525413988"/>
      <w:r>
        <w:t xml:space="preserve">S167 </w:t>
      </w:r>
      <w:bookmarkEnd w:id="61"/>
      <w:bookmarkEnd w:id="62"/>
      <w:r w:rsidR="00EA7904">
        <w:t>take-up</w:t>
      </w:r>
      <w:bookmarkEnd w:id="63"/>
    </w:p>
    <w:p w14:paraId="52B07C5D" w14:textId="77777777" w:rsidR="00386E1A" w:rsidRDefault="00386E1A" w:rsidP="00386E1A">
      <w:pPr>
        <w:pStyle w:val="Heading3"/>
      </w:pPr>
      <w:bookmarkStart w:id="64" w:name="_Toc488088770"/>
      <w:bookmarkStart w:id="65" w:name="_Toc488093158"/>
      <w:bookmarkStart w:id="66" w:name="_Toc525413989"/>
      <w:r>
        <w:t>Overall</w:t>
      </w:r>
      <w:bookmarkEnd w:id="64"/>
      <w:bookmarkEnd w:id="65"/>
      <w:bookmarkEnd w:id="66"/>
      <w:r>
        <w:t xml:space="preserve"> </w:t>
      </w:r>
    </w:p>
    <w:p w14:paraId="70DD5BA7" w14:textId="41E1203F" w:rsidR="00C00560" w:rsidRDefault="00757AEE" w:rsidP="00C00560">
      <w:pPr>
        <w:keepNext/>
        <w:jc w:val="center"/>
      </w:pPr>
      <w:r>
        <w:rPr>
          <w:noProof/>
        </w:rPr>
        <w:drawing>
          <wp:inline distT="0" distB="0" distL="0" distR="0" wp14:anchorId="749EF3CA" wp14:editId="5FECD0CD">
            <wp:extent cx="5014913" cy="4591050"/>
            <wp:effectExtent l="38100" t="38100" r="186055" b="171450"/>
            <wp:docPr id="1" name="Chart 1" descr="Pie chart: &quot;GB Taxi Licensing Authorities S167 list May 2018&quot;. Shows 52% No, 48% Yes.">
              <a:extLst xmlns:a="http://schemas.openxmlformats.org/drawingml/2006/main">
                <a:ext uri="{FF2B5EF4-FFF2-40B4-BE49-F238E27FC236}">
                  <a16:creationId xmlns:a16="http://schemas.microsoft.com/office/drawing/2014/main" id="{0BC96309-6C98-471B-99ED-2535A4248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9FDD7E" w14:textId="3B53977C" w:rsidR="007B7645" w:rsidRDefault="00C00560" w:rsidP="00B477A2">
      <w:pPr>
        <w:pStyle w:val="Caption"/>
        <w:sectPr w:rsidR="007B7645" w:rsidSect="009758D7">
          <w:headerReference w:type="first" r:id="rId21"/>
          <w:footerReference w:type="first" r:id="rId22"/>
          <w:footnotePr>
            <w:pos w:val="beneathText"/>
          </w:footnotePr>
          <w:pgSz w:w="11907" w:h="16840" w:code="9"/>
          <w:pgMar w:top="1440" w:right="1440" w:bottom="1440" w:left="1440" w:header="720" w:footer="720" w:gutter="0"/>
          <w:pgNumType w:start="1"/>
          <w:cols w:space="720"/>
          <w:noEndnote/>
          <w:titlePg/>
          <w:docGrid w:linePitch="360"/>
        </w:sectPr>
      </w:pPr>
      <w:bookmarkStart w:id="67" w:name="_Toc488087940"/>
      <w:bookmarkStart w:id="68" w:name="_Toc488087986"/>
      <w:bookmarkStart w:id="69" w:name="_Toc525406998"/>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1</w:t>
      </w:r>
      <w:r w:rsidR="00427FDC">
        <w:rPr>
          <w:noProof/>
        </w:rPr>
        <w:fldChar w:fldCharType="end"/>
      </w:r>
      <w:r>
        <w:t xml:space="preserve"> –GB S167 </w:t>
      </w:r>
      <w:bookmarkEnd w:id="67"/>
      <w:bookmarkEnd w:id="68"/>
      <w:r w:rsidR="00757AEE">
        <w:t>status</w:t>
      </w:r>
      <w:bookmarkEnd w:id="69"/>
    </w:p>
    <w:p w14:paraId="35962153" w14:textId="77777777" w:rsidR="00C00560" w:rsidRDefault="00426DCE" w:rsidP="00C00560">
      <w:pPr>
        <w:keepNext/>
        <w:spacing w:after="0" w:line="240" w:lineRule="auto"/>
        <w:jc w:val="center"/>
      </w:pPr>
      <w:r>
        <w:rPr>
          <w:noProof/>
        </w:rPr>
        <w:lastRenderedPageBreak/>
        <w:drawing>
          <wp:inline distT="0" distB="0" distL="0" distR="0" wp14:anchorId="17055460" wp14:editId="6988E409">
            <wp:extent cx="6477526" cy="9172575"/>
            <wp:effectExtent l="114300" t="114300" r="209550" b="200025"/>
            <wp:docPr id="15" name="Picture 14" descr="Map of the UK, entitled &quot;Taxi licensing bodies' implementation of S167 Equality Act&quot;. The majority of the UK is Red,&#10; indicating &quot;S167 list not in place&quot;. ">
              <a:extLst xmlns:a="http://schemas.openxmlformats.org/drawingml/2006/main">
                <a:ext uri="{FF2B5EF4-FFF2-40B4-BE49-F238E27FC236}">
                  <a16:creationId xmlns:a16="http://schemas.microsoft.com/office/drawing/2014/main" id="{CFBA5055-650C-497D-81FB-B5FE616E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FBA5055-650C-497D-81FB-B5FE616E0EF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8738" cy="9202612"/>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2B00FF38" w14:textId="6D795E60" w:rsidR="007B7645" w:rsidRDefault="00C00560" w:rsidP="00B477A2">
      <w:pPr>
        <w:pStyle w:val="Caption"/>
        <w:sectPr w:rsidR="007B7645" w:rsidSect="009758D7">
          <w:headerReference w:type="first" r:id="rId24"/>
          <w:footerReference w:type="first" r:id="rId25"/>
          <w:footnotePr>
            <w:pos w:val="beneathText"/>
          </w:footnotePr>
          <w:pgSz w:w="11907" w:h="16840" w:code="9"/>
          <w:pgMar w:top="567" w:right="425" w:bottom="567" w:left="425" w:header="284" w:footer="79" w:gutter="0"/>
          <w:cols w:space="720"/>
          <w:noEndnote/>
          <w:titlePg/>
          <w:docGrid w:linePitch="360"/>
        </w:sectPr>
      </w:pPr>
      <w:bookmarkStart w:id="70" w:name="_Toc525407009"/>
      <w:r>
        <w:t xml:space="preserve">Map  </w:t>
      </w:r>
      <w:r w:rsidR="00427FDC">
        <w:rPr>
          <w:noProof/>
        </w:rPr>
        <w:fldChar w:fldCharType="begin"/>
      </w:r>
      <w:r w:rsidR="00427FDC">
        <w:rPr>
          <w:noProof/>
        </w:rPr>
        <w:instrText xml:space="preserve"> SEQ Map_ \* ARABIC </w:instrText>
      </w:r>
      <w:r w:rsidR="00427FDC">
        <w:rPr>
          <w:noProof/>
        </w:rPr>
        <w:fldChar w:fldCharType="separate"/>
      </w:r>
      <w:r w:rsidR="00247F48">
        <w:rPr>
          <w:noProof/>
        </w:rPr>
        <w:t>1</w:t>
      </w:r>
      <w:r w:rsidR="00427FDC">
        <w:rPr>
          <w:noProof/>
        </w:rPr>
        <w:fldChar w:fldCharType="end"/>
      </w:r>
      <w:r>
        <w:t xml:space="preserve"> - Map of S167 intent</w:t>
      </w:r>
      <w:bookmarkEnd w:id="70"/>
    </w:p>
    <w:p w14:paraId="604BD604" w14:textId="77777777" w:rsidR="00085BF8" w:rsidRDefault="00085BF8">
      <w:pPr>
        <w:spacing w:after="0" w:line="240" w:lineRule="auto"/>
        <w:jc w:val="left"/>
      </w:pPr>
    </w:p>
    <w:tbl>
      <w:tblPr>
        <w:tblW w:w="8240" w:type="dxa"/>
        <w:tblCellMar>
          <w:top w:w="15" w:type="dxa"/>
          <w:bottom w:w="15" w:type="dxa"/>
        </w:tblCellMar>
        <w:tblLook w:val="04A0" w:firstRow="1" w:lastRow="0" w:firstColumn="1" w:lastColumn="0" w:noHBand="0" w:noVBand="1"/>
      </w:tblPr>
      <w:tblGrid>
        <w:gridCol w:w="3040"/>
        <w:gridCol w:w="2240"/>
        <w:gridCol w:w="2960"/>
      </w:tblGrid>
      <w:tr w:rsidR="00757AEE" w:rsidRPr="00085BF8" w14:paraId="0FA3B518" w14:textId="77777777" w:rsidTr="00A17C30">
        <w:trPr>
          <w:trHeight w:val="255"/>
        </w:trPr>
        <w:tc>
          <w:tcPr>
            <w:tcW w:w="3040" w:type="dxa"/>
            <w:tcBorders>
              <w:top w:val="single" w:sz="4" w:space="0" w:color="auto"/>
              <w:left w:val="single" w:sz="4" w:space="0" w:color="auto"/>
              <w:bottom w:val="single" w:sz="8" w:space="0" w:color="A5A5A5"/>
              <w:right w:val="single" w:sz="4" w:space="0" w:color="A5A5A5"/>
            </w:tcBorders>
            <w:shd w:val="clear" w:color="FFFFCC" w:fill="FFFFFF"/>
            <w:noWrap/>
            <w:vAlign w:val="bottom"/>
            <w:hideMark/>
          </w:tcPr>
          <w:p w14:paraId="585E4D04" w14:textId="3ECCF828" w:rsidR="00757AEE" w:rsidRPr="00085BF8" w:rsidRDefault="00757AEE" w:rsidP="00757AEE">
            <w:pPr>
              <w:spacing w:after="0" w:line="240" w:lineRule="auto"/>
              <w:jc w:val="center"/>
              <w:rPr>
                <w:rFonts w:ascii="Arial" w:eastAsia="Times New Roman" w:hAnsi="Arial" w:cs="Arial"/>
                <w:b/>
                <w:bCs/>
                <w:color w:val="000000"/>
                <w:sz w:val="20"/>
                <w:szCs w:val="20"/>
                <w:lang w:eastAsia="en-GB"/>
              </w:rPr>
            </w:pPr>
            <w:r>
              <w:rPr>
                <w:rFonts w:ascii="Arial" w:hAnsi="Arial" w:cs="Arial"/>
                <w:b/>
                <w:bCs/>
                <w:color w:val="000000"/>
                <w:sz w:val="20"/>
                <w:szCs w:val="20"/>
              </w:rPr>
              <w:t xml:space="preserve">S167 </w:t>
            </w:r>
            <w:r w:rsidR="00386873">
              <w:rPr>
                <w:rFonts w:ascii="Arial" w:hAnsi="Arial" w:cs="Arial"/>
                <w:b/>
                <w:bCs/>
                <w:color w:val="000000"/>
                <w:sz w:val="20"/>
                <w:szCs w:val="20"/>
              </w:rPr>
              <w:t>status</w:t>
            </w:r>
          </w:p>
        </w:tc>
        <w:tc>
          <w:tcPr>
            <w:tcW w:w="2240" w:type="dxa"/>
            <w:tcBorders>
              <w:top w:val="single" w:sz="4" w:space="0" w:color="auto"/>
              <w:left w:val="nil"/>
              <w:bottom w:val="single" w:sz="8" w:space="0" w:color="A5A5A5"/>
              <w:right w:val="nil"/>
            </w:tcBorders>
            <w:shd w:val="clear" w:color="FFFFCC" w:fill="FFFFFF"/>
            <w:noWrap/>
            <w:vAlign w:val="bottom"/>
            <w:hideMark/>
          </w:tcPr>
          <w:p w14:paraId="34BD6C12" w14:textId="32E06DB7" w:rsidR="00757AEE" w:rsidRPr="00085BF8" w:rsidRDefault="00757AEE" w:rsidP="00757AEE">
            <w:pPr>
              <w:spacing w:after="0" w:line="240" w:lineRule="auto"/>
              <w:jc w:val="center"/>
              <w:rPr>
                <w:rFonts w:ascii="Arial" w:eastAsia="Times New Roman" w:hAnsi="Arial" w:cs="Arial"/>
                <w:b/>
                <w:bCs/>
                <w:color w:val="000000"/>
                <w:sz w:val="20"/>
                <w:szCs w:val="20"/>
                <w:lang w:eastAsia="en-GB"/>
              </w:rPr>
            </w:pPr>
            <w:r>
              <w:rPr>
                <w:rFonts w:ascii="Arial" w:hAnsi="Arial" w:cs="Arial"/>
                <w:b/>
                <w:bCs/>
                <w:color w:val="000000"/>
                <w:sz w:val="20"/>
                <w:szCs w:val="20"/>
              </w:rPr>
              <w:t># Authorities</w:t>
            </w:r>
          </w:p>
        </w:tc>
        <w:tc>
          <w:tcPr>
            <w:tcW w:w="2960" w:type="dxa"/>
            <w:tcBorders>
              <w:top w:val="single" w:sz="4" w:space="0" w:color="auto"/>
              <w:left w:val="nil"/>
              <w:bottom w:val="single" w:sz="8" w:space="0" w:color="A5A5A5"/>
              <w:right w:val="single" w:sz="4" w:space="0" w:color="auto"/>
            </w:tcBorders>
            <w:shd w:val="clear" w:color="FFFFCC" w:fill="FFFFFF"/>
            <w:noWrap/>
            <w:vAlign w:val="bottom"/>
            <w:hideMark/>
          </w:tcPr>
          <w:p w14:paraId="61E7AB4E" w14:textId="69263A73" w:rsidR="00757AEE" w:rsidRPr="00085BF8" w:rsidRDefault="00757AEE" w:rsidP="00757AEE">
            <w:pPr>
              <w:spacing w:after="0" w:line="240" w:lineRule="auto"/>
              <w:jc w:val="center"/>
              <w:rPr>
                <w:rFonts w:ascii="Arial" w:eastAsia="Times New Roman" w:hAnsi="Arial" w:cs="Arial"/>
                <w:b/>
                <w:bCs/>
                <w:color w:val="000000"/>
                <w:sz w:val="20"/>
                <w:szCs w:val="20"/>
                <w:lang w:eastAsia="en-GB"/>
              </w:rPr>
            </w:pPr>
            <w:r>
              <w:rPr>
                <w:rFonts w:ascii="Arial" w:hAnsi="Arial" w:cs="Arial"/>
                <w:b/>
                <w:bCs/>
                <w:color w:val="000000"/>
                <w:sz w:val="20"/>
                <w:szCs w:val="20"/>
              </w:rPr>
              <w:t>% Authorities</w:t>
            </w:r>
          </w:p>
        </w:tc>
      </w:tr>
      <w:tr w:rsidR="00757AEE" w:rsidRPr="00085BF8" w14:paraId="50084B1B" w14:textId="77777777" w:rsidTr="00A17C30">
        <w:trPr>
          <w:trHeight w:val="255"/>
        </w:trPr>
        <w:tc>
          <w:tcPr>
            <w:tcW w:w="3040" w:type="dxa"/>
            <w:tcBorders>
              <w:top w:val="single" w:sz="4" w:space="0" w:color="EDEDED"/>
              <w:left w:val="single" w:sz="4" w:space="0" w:color="auto"/>
              <w:bottom w:val="single" w:sz="4" w:space="0" w:color="EDEDED"/>
              <w:right w:val="single" w:sz="4" w:space="0" w:color="A5A5A5"/>
            </w:tcBorders>
            <w:shd w:val="clear" w:color="FFFFCC" w:fill="99BD66"/>
            <w:noWrap/>
            <w:vAlign w:val="bottom"/>
            <w:hideMark/>
          </w:tcPr>
          <w:p w14:paraId="16670076" w14:textId="7DCE5E7C" w:rsidR="00757AEE" w:rsidRPr="00085BF8" w:rsidRDefault="00757AEE" w:rsidP="00757AEE">
            <w:pPr>
              <w:spacing w:after="0" w:line="240" w:lineRule="auto"/>
              <w:jc w:val="center"/>
              <w:rPr>
                <w:rFonts w:ascii="Arial" w:eastAsia="Times New Roman" w:hAnsi="Arial" w:cs="Arial"/>
                <w:b/>
                <w:bCs/>
                <w:color w:val="000000"/>
                <w:sz w:val="20"/>
                <w:szCs w:val="20"/>
                <w:lang w:eastAsia="en-GB"/>
              </w:rPr>
            </w:pPr>
            <w:r>
              <w:rPr>
                <w:rFonts w:ascii="Arial" w:hAnsi="Arial" w:cs="Arial"/>
                <w:b/>
                <w:bCs/>
                <w:color w:val="000000"/>
                <w:sz w:val="20"/>
                <w:szCs w:val="20"/>
              </w:rPr>
              <w:t>Yes</w:t>
            </w:r>
          </w:p>
        </w:tc>
        <w:tc>
          <w:tcPr>
            <w:tcW w:w="2240" w:type="dxa"/>
            <w:tcBorders>
              <w:top w:val="single" w:sz="4" w:space="0" w:color="EDEDED"/>
              <w:left w:val="nil"/>
              <w:bottom w:val="single" w:sz="4" w:space="0" w:color="EDEDED"/>
              <w:right w:val="nil"/>
            </w:tcBorders>
            <w:shd w:val="clear" w:color="FFFFCC" w:fill="FFFFFF"/>
            <w:noWrap/>
            <w:vAlign w:val="bottom"/>
            <w:hideMark/>
          </w:tcPr>
          <w:p w14:paraId="08895ED3" w14:textId="68E4E5F6" w:rsidR="00757AEE" w:rsidRPr="00085BF8" w:rsidRDefault="00757AEE" w:rsidP="00757AEE">
            <w:pPr>
              <w:spacing w:after="0" w:line="240" w:lineRule="auto"/>
              <w:jc w:val="center"/>
              <w:rPr>
                <w:rFonts w:ascii="Arial" w:eastAsia="Times New Roman" w:hAnsi="Arial" w:cs="Arial"/>
                <w:b/>
                <w:bCs/>
                <w:color w:val="7B7B7B"/>
                <w:sz w:val="20"/>
                <w:szCs w:val="20"/>
                <w:lang w:eastAsia="en-GB"/>
              </w:rPr>
            </w:pPr>
            <w:r>
              <w:rPr>
                <w:rFonts w:ascii="Arial" w:hAnsi="Arial" w:cs="Arial"/>
                <w:b/>
                <w:bCs/>
                <w:color w:val="000000"/>
                <w:sz w:val="20"/>
                <w:szCs w:val="20"/>
              </w:rPr>
              <w:t xml:space="preserve">167 </w:t>
            </w:r>
          </w:p>
        </w:tc>
        <w:tc>
          <w:tcPr>
            <w:tcW w:w="2960" w:type="dxa"/>
            <w:tcBorders>
              <w:top w:val="single" w:sz="4" w:space="0" w:color="EDEDED"/>
              <w:left w:val="nil"/>
              <w:bottom w:val="single" w:sz="4" w:space="0" w:color="EDEDED"/>
              <w:right w:val="single" w:sz="4" w:space="0" w:color="auto"/>
            </w:tcBorders>
            <w:shd w:val="clear" w:color="FFFFCC" w:fill="FFFFFF"/>
            <w:noWrap/>
            <w:vAlign w:val="bottom"/>
            <w:hideMark/>
          </w:tcPr>
          <w:p w14:paraId="190781B9" w14:textId="158957B7" w:rsidR="00757AEE" w:rsidRPr="00085BF8" w:rsidRDefault="00757AEE" w:rsidP="00757AEE">
            <w:pPr>
              <w:spacing w:after="0" w:line="240" w:lineRule="auto"/>
              <w:jc w:val="center"/>
              <w:rPr>
                <w:rFonts w:ascii="Arial" w:eastAsia="Times New Roman" w:hAnsi="Arial" w:cs="Arial"/>
                <w:b/>
                <w:bCs/>
                <w:color w:val="7B7B7B"/>
                <w:sz w:val="20"/>
                <w:szCs w:val="20"/>
                <w:lang w:eastAsia="en-GB"/>
              </w:rPr>
            </w:pPr>
            <w:r>
              <w:rPr>
                <w:rFonts w:ascii="Arial" w:hAnsi="Arial" w:cs="Arial"/>
                <w:color w:val="757171"/>
                <w:sz w:val="20"/>
                <w:szCs w:val="20"/>
              </w:rPr>
              <w:t>48%</w:t>
            </w:r>
          </w:p>
        </w:tc>
      </w:tr>
      <w:tr w:rsidR="00757AEE" w:rsidRPr="00085BF8" w14:paraId="400DDB95" w14:textId="77777777" w:rsidTr="00A17C30">
        <w:trPr>
          <w:trHeight w:val="255"/>
        </w:trPr>
        <w:tc>
          <w:tcPr>
            <w:tcW w:w="3040" w:type="dxa"/>
            <w:tcBorders>
              <w:top w:val="single" w:sz="4" w:space="0" w:color="EDEDED"/>
              <w:left w:val="single" w:sz="4" w:space="0" w:color="auto"/>
              <w:bottom w:val="single" w:sz="4" w:space="0" w:color="auto"/>
              <w:right w:val="single" w:sz="4" w:space="0" w:color="A5A5A5"/>
            </w:tcBorders>
            <w:shd w:val="clear" w:color="FFFFCC" w:fill="FF7D67"/>
            <w:noWrap/>
            <w:vAlign w:val="bottom"/>
            <w:hideMark/>
          </w:tcPr>
          <w:p w14:paraId="69362DC9" w14:textId="27043CEF" w:rsidR="00757AEE" w:rsidRPr="00085BF8" w:rsidRDefault="00757AEE" w:rsidP="00757AEE">
            <w:pPr>
              <w:spacing w:after="0" w:line="240" w:lineRule="auto"/>
              <w:jc w:val="center"/>
              <w:rPr>
                <w:rFonts w:ascii="Arial" w:eastAsia="Times New Roman" w:hAnsi="Arial" w:cs="Arial"/>
                <w:b/>
                <w:bCs/>
                <w:color w:val="000000"/>
                <w:sz w:val="20"/>
                <w:szCs w:val="20"/>
                <w:lang w:eastAsia="en-GB"/>
              </w:rPr>
            </w:pPr>
            <w:r>
              <w:rPr>
                <w:rFonts w:ascii="Arial" w:hAnsi="Arial" w:cs="Arial"/>
                <w:b/>
                <w:bCs/>
                <w:color w:val="000000"/>
                <w:sz w:val="20"/>
                <w:szCs w:val="20"/>
              </w:rPr>
              <w:t>No</w:t>
            </w:r>
          </w:p>
        </w:tc>
        <w:tc>
          <w:tcPr>
            <w:tcW w:w="2240" w:type="dxa"/>
            <w:tcBorders>
              <w:top w:val="single" w:sz="4" w:space="0" w:color="EDEDED"/>
              <w:left w:val="nil"/>
              <w:bottom w:val="single" w:sz="4" w:space="0" w:color="auto"/>
              <w:right w:val="nil"/>
            </w:tcBorders>
            <w:shd w:val="clear" w:color="FFFFCC" w:fill="FFFFFF"/>
            <w:noWrap/>
            <w:vAlign w:val="bottom"/>
            <w:hideMark/>
          </w:tcPr>
          <w:p w14:paraId="5E877632" w14:textId="378D5906" w:rsidR="00757AEE" w:rsidRPr="00085BF8" w:rsidRDefault="00757AEE" w:rsidP="00757AEE">
            <w:pPr>
              <w:spacing w:after="0" w:line="240" w:lineRule="auto"/>
              <w:jc w:val="center"/>
              <w:rPr>
                <w:rFonts w:ascii="Arial" w:eastAsia="Times New Roman" w:hAnsi="Arial" w:cs="Arial"/>
                <w:b/>
                <w:bCs/>
                <w:color w:val="7B7B7B"/>
                <w:sz w:val="20"/>
                <w:szCs w:val="20"/>
                <w:lang w:eastAsia="en-GB"/>
              </w:rPr>
            </w:pPr>
            <w:r>
              <w:rPr>
                <w:rFonts w:ascii="Arial" w:hAnsi="Arial" w:cs="Arial"/>
                <w:b/>
                <w:bCs/>
                <w:color w:val="000000"/>
                <w:sz w:val="20"/>
                <w:szCs w:val="20"/>
              </w:rPr>
              <w:t xml:space="preserve">179 </w:t>
            </w:r>
          </w:p>
        </w:tc>
        <w:tc>
          <w:tcPr>
            <w:tcW w:w="2960" w:type="dxa"/>
            <w:tcBorders>
              <w:top w:val="single" w:sz="4" w:space="0" w:color="EDEDED"/>
              <w:left w:val="nil"/>
              <w:bottom w:val="single" w:sz="4" w:space="0" w:color="auto"/>
              <w:right w:val="single" w:sz="4" w:space="0" w:color="auto"/>
            </w:tcBorders>
            <w:shd w:val="clear" w:color="FFFFCC" w:fill="FFFFFF"/>
            <w:noWrap/>
            <w:vAlign w:val="bottom"/>
            <w:hideMark/>
          </w:tcPr>
          <w:p w14:paraId="0DCE57E0" w14:textId="5679124D" w:rsidR="00757AEE" w:rsidRPr="00085BF8" w:rsidRDefault="00757AEE" w:rsidP="00757AEE">
            <w:pPr>
              <w:keepNext/>
              <w:spacing w:after="0" w:line="240" w:lineRule="auto"/>
              <w:jc w:val="center"/>
              <w:rPr>
                <w:rFonts w:ascii="Arial" w:eastAsia="Times New Roman" w:hAnsi="Arial" w:cs="Arial"/>
                <w:b/>
                <w:bCs/>
                <w:color w:val="7B7B7B"/>
                <w:sz w:val="20"/>
                <w:szCs w:val="20"/>
                <w:lang w:eastAsia="en-GB"/>
              </w:rPr>
            </w:pPr>
            <w:r>
              <w:rPr>
                <w:rFonts w:ascii="Arial" w:hAnsi="Arial" w:cs="Arial"/>
                <w:color w:val="757171"/>
                <w:sz w:val="20"/>
                <w:szCs w:val="20"/>
              </w:rPr>
              <w:t>52%</w:t>
            </w:r>
          </w:p>
        </w:tc>
      </w:tr>
    </w:tbl>
    <w:p w14:paraId="6EADA73C" w14:textId="16DD6087" w:rsidR="00085BF8" w:rsidRDefault="00027D8F" w:rsidP="00B477A2">
      <w:pPr>
        <w:pStyle w:val="Caption"/>
      </w:pPr>
      <w:bookmarkStart w:id="71" w:name="_Toc525406994"/>
      <w:r>
        <w:t xml:space="preserve">Table </w:t>
      </w:r>
      <w:r w:rsidR="00427FDC">
        <w:rPr>
          <w:noProof/>
        </w:rPr>
        <w:fldChar w:fldCharType="begin"/>
      </w:r>
      <w:r w:rsidR="00427FDC">
        <w:rPr>
          <w:noProof/>
        </w:rPr>
        <w:instrText xml:space="preserve"> SEQ Table \* ARABIC </w:instrText>
      </w:r>
      <w:r w:rsidR="00427FDC">
        <w:rPr>
          <w:noProof/>
        </w:rPr>
        <w:fldChar w:fldCharType="separate"/>
      </w:r>
      <w:r w:rsidR="00247F48">
        <w:rPr>
          <w:noProof/>
        </w:rPr>
        <w:t>3</w:t>
      </w:r>
      <w:r w:rsidR="00427FDC">
        <w:rPr>
          <w:noProof/>
        </w:rPr>
        <w:fldChar w:fldCharType="end"/>
      </w:r>
      <w:r>
        <w:t xml:space="preserve"> - GB S167 </w:t>
      </w:r>
      <w:r w:rsidR="00EA7904">
        <w:t>s</w:t>
      </w:r>
      <w:r w:rsidR="00386873">
        <w:t>tatus</w:t>
      </w:r>
      <w:bookmarkEnd w:id="71"/>
    </w:p>
    <w:p w14:paraId="41BB8B06" w14:textId="681FF3DE" w:rsidR="00350204" w:rsidRDefault="00757AEE" w:rsidP="000713AE">
      <w:pPr>
        <w:spacing w:after="0" w:line="240" w:lineRule="auto"/>
        <w:jc w:val="left"/>
      </w:pPr>
      <w:r>
        <w:t xml:space="preserve">12 months </w:t>
      </w:r>
      <w:r w:rsidR="0036302A">
        <w:t>after commencement</w:t>
      </w:r>
      <w:r>
        <w:t>, u</w:t>
      </w:r>
      <w:r w:rsidR="00085BF8">
        <w:t xml:space="preserve">nder half of authorities </w:t>
      </w:r>
      <w:r>
        <w:t>have created a S167 list</w:t>
      </w:r>
      <w:r w:rsidR="00350204">
        <w:t>.</w:t>
      </w:r>
      <w:r w:rsidR="008F5493">
        <w:t xml:space="preserve"> There are over 49,000 wheelchair accessible taxis in these authorities’ areas.</w:t>
      </w:r>
    </w:p>
    <w:p w14:paraId="3F5A60C6" w14:textId="757B9304" w:rsidR="00350204" w:rsidRDefault="00350204" w:rsidP="000713AE">
      <w:pPr>
        <w:spacing w:after="0" w:line="240" w:lineRule="auto"/>
        <w:jc w:val="left"/>
      </w:pPr>
      <w:r>
        <w:t>Authorities’ approach to S167</w:t>
      </w:r>
      <w:r w:rsidR="00891A3E">
        <w:t xml:space="preserve">, and to taxi accessibility in </w:t>
      </w:r>
      <w:r w:rsidR="002F4A0F">
        <w:t>general, varies</w:t>
      </w:r>
      <w:r>
        <w:t xml:space="preserve"> considerably. </w:t>
      </w:r>
    </w:p>
    <w:p w14:paraId="093F6D31" w14:textId="2459422D" w:rsidR="00350204" w:rsidRDefault="00350204" w:rsidP="000713AE">
      <w:pPr>
        <w:spacing w:after="0" w:line="240" w:lineRule="auto"/>
        <w:jc w:val="left"/>
      </w:pPr>
      <w:r>
        <w:t xml:space="preserve">At one end of the spectrum, authorities such as </w:t>
      </w:r>
      <w:r w:rsidR="00757AEE">
        <w:t>Bedford</w:t>
      </w:r>
      <w:r>
        <w:t xml:space="preserve"> had a “voluntary” list for </w:t>
      </w:r>
      <w:r w:rsidR="00757AEE">
        <w:t xml:space="preserve">many years. </w:t>
      </w:r>
      <w:r w:rsidR="00770722">
        <w:t xml:space="preserve">All </w:t>
      </w:r>
      <w:r w:rsidR="00757AEE">
        <w:t>th</w:t>
      </w:r>
      <w:r w:rsidR="00770722">
        <w:t>eir licensed taxis are wheelchair accessible</w:t>
      </w:r>
      <w:r>
        <w:t xml:space="preserve">, </w:t>
      </w:r>
      <w:r w:rsidR="00AD7916">
        <w:t xml:space="preserve">they </w:t>
      </w:r>
      <w:r>
        <w:t>require drivers to undertake disability awareness training</w:t>
      </w:r>
      <w:r w:rsidR="00AD7916">
        <w:t>,</w:t>
      </w:r>
      <w:r>
        <w:t xml:space="preserve"> and</w:t>
      </w:r>
      <w:r w:rsidR="00AD7916">
        <w:t xml:space="preserve"> they</w:t>
      </w:r>
      <w:r>
        <w:t xml:space="preserve"> implemented s167 on the day it was commenced.</w:t>
      </w:r>
    </w:p>
    <w:p w14:paraId="614C9B6F" w14:textId="5979009E" w:rsidR="00350204" w:rsidRDefault="00350204" w:rsidP="000713AE">
      <w:pPr>
        <w:spacing w:after="0" w:line="240" w:lineRule="auto"/>
        <w:jc w:val="left"/>
      </w:pPr>
      <w:r>
        <w:t xml:space="preserve">At the other </w:t>
      </w:r>
      <w:r w:rsidR="0054657A">
        <w:t>extreme are</w:t>
      </w:r>
      <w:r>
        <w:t xml:space="preserve"> authorities such as </w:t>
      </w:r>
      <w:r w:rsidR="00386873">
        <w:t>Arun</w:t>
      </w:r>
      <w:r>
        <w:t xml:space="preserve">, who despite being “urban with </w:t>
      </w:r>
      <w:r w:rsidR="00386873">
        <w:t>city and town</w:t>
      </w:r>
      <w:r>
        <w:t>” have no intent to implement S167</w:t>
      </w:r>
      <w:r w:rsidR="00386873">
        <w:t xml:space="preserve"> </w:t>
      </w:r>
      <w:r>
        <w:t>and have only t</w:t>
      </w:r>
      <w:r w:rsidR="00386873">
        <w:t>hree</w:t>
      </w:r>
      <w:r>
        <w:t xml:space="preserve"> accessible taxis throughout their area.</w:t>
      </w:r>
    </w:p>
    <w:p w14:paraId="41F319C7" w14:textId="2B15396B" w:rsidR="00027D8F" w:rsidRDefault="00386873" w:rsidP="00027D8F">
      <w:pPr>
        <w:keepNext/>
        <w:spacing w:after="0" w:line="240" w:lineRule="auto"/>
        <w:ind w:left="-142"/>
        <w:jc w:val="left"/>
      </w:pPr>
      <w:r>
        <w:rPr>
          <w:noProof/>
        </w:rPr>
        <w:drawing>
          <wp:inline distT="0" distB="0" distL="0" distR="0" wp14:anchorId="6882F1FF" wp14:editId="1B132576">
            <wp:extent cx="1656000" cy="1720800"/>
            <wp:effectExtent l="57150" t="57150" r="192405" b="184785"/>
            <wp:docPr id="11" name="Chart 11" descr="Pie chart: England S167 List May 2018. No 52% Yes 48%.">
              <a:extLst xmlns:a="http://schemas.openxmlformats.org/drawingml/2006/main">
                <a:ext uri="{FF2B5EF4-FFF2-40B4-BE49-F238E27FC236}">
                  <a16:creationId xmlns:a16="http://schemas.microsoft.com/office/drawing/2014/main" id="{737A5169-085F-4592-B300-FC3D7B8AD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B7645" w:rsidRPr="007B7645">
        <w:rPr>
          <w:noProof/>
        </w:rPr>
        <w:t xml:space="preserve"> </w:t>
      </w:r>
      <w:r>
        <w:rPr>
          <w:noProof/>
        </w:rPr>
        <w:drawing>
          <wp:inline distT="0" distB="0" distL="0" distR="0" wp14:anchorId="7FDC1F76" wp14:editId="4890E34D">
            <wp:extent cx="1656000" cy="1720800"/>
            <wp:effectExtent l="57150" t="57150" r="192405" b="184785"/>
            <wp:docPr id="13" name="Chart 13" descr="Pie chart: Scotland S167 List May 2018. No 66% Yes 34%.">
              <a:extLst xmlns:a="http://schemas.openxmlformats.org/drawingml/2006/main">
                <a:ext uri="{FF2B5EF4-FFF2-40B4-BE49-F238E27FC236}">
                  <a16:creationId xmlns:a16="http://schemas.microsoft.com/office/drawing/2014/main" id="{B46CA7D9-8D03-401F-8700-9307E87C5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54D8C" w:rsidRPr="00654D8C">
        <w:rPr>
          <w:noProof/>
        </w:rPr>
        <w:t xml:space="preserve"> </w:t>
      </w:r>
      <w:r>
        <w:rPr>
          <w:noProof/>
        </w:rPr>
        <w:drawing>
          <wp:inline distT="0" distB="0" distL="0" distR="0" wp14:anchorId="68488A5F" wp14:editId="796CED17">
            <wp:extent cx="1656000" cy="1720800"/>
            <wp:effectExtent l="57150" t="57150" r="192405" b="184785"/>
            <wp:docPr id="14" name="Chart 14" descr="Pie chart: Wales S167 List May 2018. No 23% Yes 77%.">
              <a:extLst xmlns:a="http://schemas.openxmlformats.org/drawingml/2006/main">
                <a:ext uri="{FF2B5EF4-FFF2-40B4-BE49-F238E27FC236}">
                  <a16:creationId xmlns:a16="http://schemas.microsoft.com/office/drawing/2014/main" id="{82BC2AB4-D88D-461D-A3D2-AC0203924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CE2485" w14:textId="01B1BFEF" w:rsidR="00654D8C" w:rsidRDefault="00027D8F" w:rsidP="00B477A2">
      <w:pPr>
        <w:pStyle w:val="Caption"/>
        <w:rPr>
          <w:noProof/>
        </w:rPr>
      </w:pPr>
      <w:bookmarkStart w:id="72" w:name="_Toc488087941"/>
      <w:bookmarkStart w:id="73" w:name="_Toc488087987"/>
      <w:bookmarkStart w:id="74" w:name="_Toc525406999"/>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2</w:t>
      </w:r>
      <w:r w:rsidR="00427FDC">
        <w:rPr>
          <w:noProof/>
        </w:rPr>
        <w:fldChar w:fldCharType="end"/>
      </w:r>
      <w:r>
        <w:t xml:space="preserve"> – Constituent countries S167 </w:t>
      </w:r>
      <w:bookmarkEnd w:id="72"/>
      <w:bookmarkEnd w:id="73"/>
      <w:r w:rsidR="00386873">
        <w:t>status</w:t>
      </w:r>
      <w:bookmarkEnd w:id="74"/>
    </w:p>
    <w:tbl>
      <w:tblPr>
        <w:tblW w:w="8774" w:type="dxa"/>
        <w:tblCellMar>
          <w:top w:w="15" w:type="dxa"/>
          <w:bottom w:w="15" w:type="dxa"/>
        </w:tblCellMar>
        <w:tblLook w:val="04E0" w:firstRow="1" w:lastRow="1" w:firstColumn="1" w:lastColumn="0" w:noHBand="0" w:noVBand="1"/>
      </w:tblPr>
      <w:tblGrid>
        <w:gridCol w:w="832"/>
        <w:gridCol w:w="1276"/>
        <w:gridCol w:w="1275"/>
        <w:gridCol w:w="1420"/>
        <w:gridCol w:w="1278"/>
        <w:gridCol w:w="1417"/>
        <w:gridCol w:w="1276"/>
      </w:tblGrid>
      <w:tr w:rsidR="00A17C30" w:rsidRPr="00A17C30" w14:paraId="2F1E2EEA" w14:textId="77777777" w:rsidTr="00C6428D">
        <w:trPr>
          <w:trHeight w:val="615"/>
        </w:trPr>
        <w:tc>
          <w:tcPr>
            <w:tcW w:w="832" w:type="dxa"/>
            <w:tcBorders>
              <w:top w:val="single" w:sz="12" w:space="0" w:color="auto"/>
              <w:left w:val="single" w:sz="12" w:space="0" w:color="auto"/>
              <w:bottom w:val="single" w:sz="12" w:space="0" w:color="auto"/>
              <w:right w:val="single" w:sz="8" w:space="0" w:color="auto"/>
            </w:tcBorders>
            <w:vAlign w:val="center"/>
            <w:hideMark/>
          </w:tcPr>
          <w:p w14:paraId="2C3BB846" w14:textId="1B3B83E5"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 xml:space="preserve">S167 </w:t>
            </w:r>
            <w:r w:rsidR="00A673C2">
              <w:rPr>
                <w:rFonts w:ascii="Arial" w:eastAsia="Times New Roman" w:hAnsi="Arial" w:cs="Arial"/>
                <w:b/>
                <w:bCs/>
                <w:sz w:val="20"/>
                <w:szCs w:val="20"/>
                <w:lang w:eastAsia="en-GB"/>
              </w:rPr>
              <w:t>status</w:t>
            </w:r>
          </w:p>
        </w:tc>
        <w:tc>
          <w:tcPr>
            <w:tcW w:w="1276" w:type="dxa"/>
            <w:tcBorders>
              <w:top w:val="single" w:sz="12" w:space="0" w:color="auto"/>
              <w:left w:val="nil"/>
              <w:bottom w:val="single" w:sz="12" w:space="0" w:color="auto"/>
              <w:right w:val="nil"/>
            </w:tcBorders>
            <w:vAlign w:val="center"/>
            <w:hideMark/>
          </w:tcPr>
          <w:p w14:paraId="0A191785"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English Authorities</w:t>
            </w:r>
          </w:p>
        </w:tc>
        <w:tc>
          <w:tcPr>
            <w:tcW w:w="1275" w:type="dxa"/>
            <w:tcBorders>
              <w:top w:val="single" w:sz="12" w:space="0" w:color="auto"/>
              <w:left w:val="nil"/>
              <w:bottom w:val="single" w:sz="12" w:space="0" w:color="auto"/>
              <w:right w:val="nil"/>
            </w:tcBorders>
            <w:vAlign w:val="center"/>
            <w:hideMark/>
          </w:tcPr>
          <w:p w14:paraId="7FA804BB"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 English Authorities</w:t>
            </w:r>
          </w:p>
        </w:tc>
        <w:tc>
          <w:tcPr>
            <w:tcW w:w="1420" w:type="dxa"/>
            <w:tcBorders>
              <w:top w:val="single" w:sz="12" w:space="0" w:color="auto"/>
              <w:left w:val="single" w:sz="8" w:space="0" w:color="auto"/>
              <w:bottom w:val="single" w:sz="12" w:space="0" w:color="auto"/>
              <w:right w:val="nil"/>
            </w:tcBorders>
            <w:vAlign w:val="center"/>
            <w:hideMark/>
          </w:tcPr>
          <w:p w14:paraId="6BCA7BB5"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Scottish Authorities</w:t>
            </w:r>
          </w:p>
        </w:tc>
        <w:tc>
          <w:tcPr>
            <w:tcW w:w="1278" w:type="dxa"/>
            <w:tcBorders>
              <w:top w:val="single" w:sz="12" w:space="0" w:color="auto"/>
              <w:left w:val="nil"/>
              <w:bottom w:val="single" w:sz="12" w:space="0" w:color="auto"/>
              <w:right w:val="single" w:sz="8" w:space="0" w:color="auto"/>
            </w:tcBorders>
            <w:vAlign w:val="center"/>
            <w:hideMark/>
          </w:tcPr>
          <w:p w14:paraId="51F8BFAC"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 Scottish Authorities</w:t>
            </w:r>
          </w:p>
        </w:tc>
        <w:tc>
          <w:tcPr>
            <w:tcW w:w="1417" w:type="dxa"/>
            <w:tcBorders>
              <w:top w:val="single" w:sz="12" w:space="0" w:color="auto"/>
              <w:left w:val="nil"/>
              <w:bottom w:val="single" w:sz="12" w:space="0" w:color="auto"/>
              <w:right w:val="nil"/>
            </w:tcBorders>
            <w:vAlign w:val="center"/>
            <w:hideMark/>
          </w:tcPr>
          <w:p w14:paraId="4EDDF922"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Welsh Authorities</w:t>
            </w:r>
          </w:p>
        </w:tc>
        <w:tc>
          <w:tcPr>
            <w:tcW w:w="1276" w:type="dxa"/>
            <w:tcBorders>
              <w:top w:val="single" w:sz="12" w:space="0" w:color="auto"/>
              <w:left w:val="nil"/>
              <w:bottom w:val="single" w:sz="12" w:space="0" w:color="auto"/>
              <w:right w:val="single" w:sz="12" w:space="0" w:color="auto"/>
            </w:tcBorders>
            <w:vAlign w:val="center"/>
            <w:hideMark/>
          </w:tcPr>
          <w:p w14:paraId="34AB6A6A"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 xml:space="preserve">% </w:t>
            </w:r>
            <w:r w:rsidR="000713AE" w:rsidRPr="00A17C30">
              <w:rPr>
                <w:rFonts w:ascii="Arial" w:eastAsia="Times New Roman" w:hAnsi="Arial" w:cs="Arial"/>
                <w:b/>
                <w:bCs/>
                <w:sz w:val="20"/>
                <w:szCs w:val="20"/>
                <w:lang w:eastAsia="en-GB"/>
              </w:rPr>
              <w:t>Welsh Authorities</w:t>
            </w:r>
          </w:p>
        </w:tc>
      </w:tr>
      <w:tr w:rsidR="00A17C30" w:rsidRPr="00A17C30" w14:paraId="6DDB280B" w14:textId="77777777" w:rsidTr="00C6428D">
        <w:trPr>
          <w:trHeight w:val="270"/>
        </w:trPr>
        <w:tc>
          <w:tcPr>
            <w:tcW w:w="832" w:type="dxa"/>
            <w:tcBorders>
              <w:top w:val="single" w:sz="12" w:space="0" w:color="auto"/>
              <w:left w:val="single" w:sz="12" w:space="0" w:color="auto"/>
              <w:bottom w:val="nil"/>
              <w:right w:val="single" w:sz="8" w:space="0" w:color="auto"/>
            </w:tcBorders>
            <w:shd w:val="clear" w:color="000000" w:fill="99BD66"/>
            <w:noWrap/>
            <w:vAlign w:val="center"/>
            <w:hideMark/>
          </w:tcPr>
          <w:p w14:paraId="33FA88A5" w14:textId="77777777"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Yes</w:t>
            </w:r>
          </w:p>
        </w:tc>
        <w:tc>
          <w:tcPr>
            <w:tcW w:w="1276" w:type="dxa"/>
            <w:tcBorders>
              <w:top w:val="single" w:sz="12" w:space="0" w:color="auto"/>
              <w:left w:val="nil"/>
              <w:bottom w:val="nil"/>
              <w:right w:val="nil"/>
            </w:tcBorders>
            <w:noWrap/>
            <w:vAlign w:val="center"/>
            <w:hideMark/>
          </w:tcPr>
          <w:p w14:paraId="2D590047" w14:textId="16806F1B"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1</w:t>
            </w:r>
            <w:r w:rsidR="00A673C2">
              <w:rPr>
                <w:rFonts w:ascii="Arial" w:eastAsia="Times New Roman" w:hAnsi="Arial" w:cs="Arial"/>
                <w:sz w:val="20"/>
                <w:szCs w:val="20"/>
                <w:lang w:eastAsia="en-GB"/>
              </w:rPr>
              <w:t>39</w:t>
            </w:r>
          </w:p>
        </w:tc>
        <w:tc>
          <w:tcPr>
            <w:tcW w:w="1275" w:type="dxa"/>
            <w:tcBorders>
              <w:top w:val="single" w:sz="12" w:space="0" w:color="auto"/>
              <w:left w:val="nil"/>
              <w:bottom w:val="nil"/>
              <w:right w:val="nil"/>
            </w:tcBorders>
            <w:noWrap/>
            <w:vAlign w:val="center"/>
            <w:hideMark/>
          </w:tcPr>
          <w:p w14:paraId="4A6C7191" w14:textId="410C7BCA"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4</w:t>
            </w:r>
            <w:r w:rsidR="00A673C2">
              <w:rPr>
                <w:rFonts w:ascii="Arial" w:eastAsia="Times New Roman" w:hAnsi="Arial" w:cs="Arial"/>
                <w:sz w:val="20"/>
                <w:szCs w:val="20"/>
                <w:lang w:eastAsia="en-GB"/>
              </w:rPr>
              <w:t>8</w:t>
            </w:r>
            <w:r w:rsidRPr="00A17C30">
              <w:rPr>
                <w:rFonts w:ascii="Arial" w:eastAsia="Times New Roman" w:hAnsi="Arial" w:cs="Arial"/>
                <w:sz w:val="20"/>
                <w:szCs w:val="20"/>
                <w:lang w:eastAsia="en-GB"/>
              </w:rPr>
              <w:t>%</w:t>
            </w:r>
          </w:p>
        </w:tc>
        <w:tc>
          <w:tcPr>
            <w:tcW w:w="1420" w:type="dxa"/>
            <w:tcBorders>
              <w:top w:val="single" w:sz="12" w:space="0" w:color="auto"/>
              <w:left w:val="single" w:sz="8" w:space="0" w:color="auto"/>
              <w:bottom w:val="nil"/>
              <w:right w:val="nil"/>
            </w:tcBorders>
            <w:noWrap/>
            <w:vAlign w:val="center"/>
            <w:hideMark/>
          </w:tcPr>
          <w:p w14:paraId="3D4DB658" w14:textId="3DE44503"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11</w:t>
            </w:r>
          </w:p>
        </w:tc>
        <w:tc>
          <w:tcPr>
            <w:tcW w:w="1278" w:type="dxa"/>
            <w:tcBorders>
              <w:top w:val="single" w:sz="12" w:space="0" w:color="auto"/>
              <w:left w:val="nil"/>
              <w:bottom w:val="nil"/>
              <w:right w:val="single" w:sz="8" w:space="0" w:color="auto"/>
            </w:tcBorders>
            <w:noWrap/>
            <w:vAlign w:val="center"/>
            <w:hideMark/>
          </w:tcPr>
          <w:p w14:paraId="695932AC" w14:textId="36841C6D"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34</w:t>
            </w:r>
            <w:r w:rsidR="00A17C30" w:rsidRPr="00A17C30">
              <w:rPr>
                <w:rFonts w:ascii="Arial" w:eastAsia="Times New Roman" w:hAnsi="Arial" w:cs="Arial"/>
                <w:sz w:val="20"/>
                <w:szCs w:val="20"/>
                <w:lang w:eastAsia="en-GB"/>
              </w:rPr>
              <w:t>%</w:t>
            </w:r>
          </w:p>
        </w:tc>
        <w:tc>
          <w:tcPr>
            <w:tcW w:w="1417" w:type="dxa"/>
            <w:tcBorders>
              <w:top w:val="single" w:sz="12" w:space="0" w:color="auto"/>
              <w:left w:val="nil"/>
              <w:bottom w:val="nil"/>
              <w:right w:val="nil"/>
            </w:tcBorders>
            <w:noWrap/>
            <w:vAlign w:val="center"/>
            <w:hideMark/>
          </w:tcPr>
          <w:p w14:paraId="1DF9CF1F" w14:textId="1174BE1B"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w:t>
            </w:r>
            <w:r w:rsidR="00A17C30" w:rsidRPr="00A17C30">
              <w:rPr>
                <w:rFonts w:ascii="Arial" w:eastAsia="Times New Roman" w:hAnsi="Arial" w:cs="Arial"/>
                <w:sz w:val="20"/>
                <w:szCs w:val="20"/>
                <w:lang w:eastAsia="en-GB"/>
              </w:rPr>
              <w:t>7</w:t>
            </w:r>
          </w:p>
        </w:tc>
        <w:tc>
          <w:tcPr>
            <w:tcW w:w="1276" w:type="dxa"/>
            <w:tcBorders>
              <w:top w:val="single" w:sz="12" w:space="0" w:color="auto"/>
              <w:left w:val="nil"/>
              <w:bottom w:val="nil"/>
              <w:right w:val="single" w:sz="12" w:space="0" w:color="auto"/>
            </w:tcBorders>
            <w:noWrap/>
            <w:vAlign w:val="center"/>
            <w:hideMark/>
          </w:tcPr>
          <w:p w14:paraId="138B9B8D" w14:textId="1909869A"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77</w:t>
            </w:r>
            <w:r w:rsidR="00A17C30" w:rsidRPr="00A17C30">
              <w:rPr>
                <w:rFonts w:ascii="Arial" w:eastAsia="Times New Roman" w:hAnsi="Arial" w:cs="Arial"/>
                <w:sz w:val="20"/>
                <w:szCs w:val="20"/>
                <w:lang w:eastAsia="en-GB"/>
              </w:rPr>
              <w:t>%</w:t>
            </w:r>
          </w:p>
        </w:tc>
      </w:tr>
      <w:tr w:rsidR="00A17C30" w:rsidRPr="00A17C30" w14:paraId="1383FF03" w14:textId="77777777" w:rsidTr="00C6428D">
        <w:trPr>
          <w:trHeight w:val="270"/>
        </w:trPr>
        <w:tc>
          <w:tcPr>
            <w:tcW w:w="832" w:type="dxa"/>
            <w:tcBorders>
              <w:top w:val="nil"/>
              <w:left w:val="single" w:sz="12" w:space="0" w:color="auto"/>
              <w:bottom w:val="nil"/>
              <w:right w:val="single" w:sz="8" w:space="0" w:color="auto"/>
            </w:tcBorders>
            <w:shd w:val="clear" w:color="000000" w:fill="FF7D67"/>
            <w:noWrap/>
            <w:vAlign w:val="center"/>
            <w:hideMark/>
          </w:tcPr>
          <w:p w14:paraId="0B9C1434" w14:textId="77777777"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No</w:t>
            </w:r>
          </w:p>
        </w:tc>
        <w:tc>
          <w:tcPr>
            <w:tcW w:w="1276" w:type="dxa"/>
            <w:tcBorders>
              <w:top w:val="nil"/>
              <w:left w:val="nil"/>
              <w:bottom w:val="nil"/>
              <w:right w:val="nil"/>
            </w:tcBorders>
            <w:noWrap/>
            <w:vAlign w:val="center"/>
            <w:hideMark/>
          </w:tcPr>
          <w:p w14:paraId="7DBFB912" w14:textId="3E852A75"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253</w:t>
            </w:r>
          </w:p>
        </w:tc>
        <w:tc>
          <w:tcPr>
            <w:tcW w:w="1275" w:type="dxa"/>
            <w:tcBorders>
              <w:top w:val="nil"/>
              <w:left w:val="nil"/>
              <w:bottom w:val="nil"/>
              <w:right w:val="nil"/>
            </w:tcBorders>
            <w:noWrap/>
            <w:vAlign w:val="center"/>
            <w:hideMark/>
          </w:tcPr>
          <w:p w14:paraId="3F2BF1DB" w14:textId="6E31BB2C"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5</w:t>
            </w:r>
            <w:r w:rsidR="00A673C2">
              <w:rPr>
                <w:rFonts w:ascii="Arial" w:eastAsia="Times New Roman" w:hAnsi="Arial" w:cs="Arial"/>
                <w:sz w:val="20"/>
                <w:szCs w:val="20"/>
                <w:lang w:eastAsia="en-GB"/>
              </w:rPr>
              <w:t>2</w:t>
            </w:r>
            <w:r w:rsidRPr="00A17C30">
              <w:rPr>
                <w:rFonts w:ascii="Arial" w:eastAsia="Times New Roman" w:hAnsi="Arial" w:cs="Arial"/>
                <w:sz w:val="20"/>
                <w:szCs w:val="20"/>
                <w:lang w:eastAsia="en-GB"/>
              </w:rPr>
              <w:t>%</w:t>
            </w:r>
          </w:p>
        </w:tc>
        <w:tc>
          <w:tcPr>
            <w:tcW w:w="1420" w:type="dxa"/>
            <w:tcBorders>
              <w:top w:val="nil"/>
              <w:left w:val="single" w:sz="8" w:space="0" w:color="auto"/>
              <w:bottom w:val="nil"/>
              <w:right w:val="nil"/>
            </w:tcBorders>
            <w:noWrap/>
            <w:vAlign w:val="center"/>
            <w:hideMark/>
          </w:tcPr>
          <w:p w14:paraId="13EA4464" w14:textId="02C8C184"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2</w:t>
            </w:r>
            <w:r w:rsidR="00A673C2">
              <w:rPr>
                <w:rFonts w:ascii="Arial" w:eastAsia="Times New Roman" w:hAnsi="Arial" w:cs="Arial"/>
                <w:sz w:val="20"/>
                <w:szCs w:val="20"/>
                <w:lang w:eastAsia="en-GB"/>
              </w:rPr>
              <w:t>1</w:t>
            </w:r>
          </w:p>
        </w:tc>
        <w:tc>
          <w:tcPr>
            <w:tcW w:w="1278" w:type="dxa"/>
            <w:tcBorders>
              <w:top w:val="nil"/>
              <w:left w:val="nil"/>
              <w:bottom w:val="nil"/>
              <w:right w:val="single" w:sz="8" w:space="0" w:color="auto"/>
            </w:tcBorders>
            <w:noWrap/>
            <w:vAlign w:val="center"/>
            <w:hideMark/>
          </w:tcPr>
          <w:p w14:paraId="1D4E5E09" w14:textId="24EF7553"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66</w:t>
            </w:r>
            <w:r w:rsidR="00A17C30" w:rsidRPr="00A17C30">
              <w:rPr>
                <w:rFonts w:ascii="Arial" w:eastAsia="Times New Roman" w:hAnsi="Arial" w:cs="Arial"/>
                <w:sz w:val="20"/>
                <w:szCs w:val="20"/>
                <w:lang w:eastAsia="en-GB"/>
              </w:rPr>
              <w:t>%</w:t>
            </w:r>
          </w:p>
        </w:tc>
        <w:tc>
          <w:tcPr>
            <w:tcW w:w="1417" w:type="dxa"/>
            <w:tcBorders>
              <w:top w:val="nil"/>
              <w:left w:val="nil"/>
              <w:bottom w:val="nil"/>
              <w:right w:val="nil"/>
            </w:tcBorders>
            <w:noWrap/>
            <w:vAlign w:val="center"/>
            <w:hideMark/>
          </w:tcPr>
          <w:p w14:paraId="627A5177" w14:textId="46ADDA30" w:rsidR="00A17C30" w:rsidRPr="00A17C30" w:rsidRDefault="00A17C30" w:rsidP="00A17C30">
            <w:pPr>
              <w:spacing w:after="0" w:line="240" w:lineRule="auto"/>
              <w:jc w:val="center"/>
              <w:rPr>
                <w:rFonts w:ascii="Arial" w:eastAsia="Times New Roman" w:hAnsi="Arial" w:cs="Arial"/>
                <w:sz w:val="20"/>
                <w:szCs w:val="20"/>
                <w:lang w:eastAsia="en-GB"/>
              </w:rPr>
            </w:pPr>
            <w:r w:rsidRPr="00A17C30">
              <w:rPr>
                <w:rFonts w:ascii="Arial" w:eastAsia="Times New Roman" w:hAnsi="Arial" w:cs="Arial"/>
                <w:sz w:val="20"/>
                <w:szCs w:val="20"/>
                <w:lang w:eastAsia="en-GB"/>
              </w:rPr>
              <w:t>5</w:t>
            </w:r>
          </w:p>
        </w:tc>
        <w:tc>
          <w:tcPr>
            <w:tcW w:w="1276" w:type="dxa"/>
            <w:tcBorders>
              <w:top w:val="nil"/>
              <w:left w:val="nil"/>
              <w:bottom w:val="nil"/>
              <w:right w:val="single" w:sz="12" w:space="0" w:color="auto"/>
            </w:tcBorders>
            <w:noWrap/>
            <w:vAlign w:val="center"/>
            <w:hideMark/>
          </w:tcPr>
          <w:p w14:paraId="0994260A" w14:textId="7FE7715B" w:rsidR="00A17C30" w:rsidRPr="00A17C30" w:rsidRDefault="00A673C2" w:rsidP="00A17C3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23</w:t>
            </w:r>
            <w:r w:rsidR="00A17C30" w:rsidRPr="00A17C30">
              <w:rPr>
                <w:rFonts w:ascii="Arial" w:eastAsia="Times New Roman" w:hAnsi="Arial" w:cs="Arial"/>
                <w:sz w:val="20"/>
                <w:szCs w:val="20"/>
                <w:lang w:eastAsia="en-GB"/>
              </w:rPr>
              <w:t>%</w:t>
            </w:r>
          </w:p>
        </w:tc>
      </w:tr>
      <w:tr w:rsidR="00A17C30" w:rsidRPr="00A17C30" w14:paraId="3191F4B2" w14:textId="77777777" w:rsidTr="00C6428D">
        <w:trPr>
          <w:trHeight w:val="285"/>
        </w:trPr>
        <w:tc>
          <w:tcPr>
            <w:tcW w:w="832" w:type="dxa"/>
            <w:tcBorders>
              <w:top w:val="single" w:sz="12" w:space="0" w:color="auto"/>
              <w:left w:val="single" w:sz="12" w:space="0" w:color="auto"/>
              <w:bottom w:val="single" w:sz="12" w:space="0" w:color="auto"/>
              <w:right w:val="single" w:sz="8" w:space="0" w:color="auto"/>
            </w:tcBorders>
            <w:noWrap/>
            <w:vAlign w:val="center"/>
            <w:hideMark/>
          </w:tcPr>
          <w:p w14:paraId="49DAE477" w14:textId="77777777" w:rsidR="00A17C30" w:rsidRPr="00A17C30" w:rsidRDefault="006022EB" w:rsidP="00A17C30">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Total</w:t>
            </w:r>
          </w:p>
        </w:tc>
        <w:tc>
          <w:tcPr>
            <w:tcW w:w="1276" w:type="dxa"/>
            <w:tcBorders>
              <w:top w:val="single" w:sz="12" w:space="0" w:color="auto"/>
              <w:left w:val="nil"/>
              <w:bottom w:val="single" w:sz="12" w:space="0" w:color="auto"/>
              <w:right w:val="nil"/>
            </w:tcBorders>
            <w:noWrap/>
            <w:vAlign w:val="center"/>
            <w:hideMark/>
          </w:tcPr>
          <w:p w14:paraId="6D7B82EB" w14:textId="3148B7C9"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29</w:t>
            </w:r>
            <w:r w:rsidR="00A673C2">
              <w:rPr>
                <w:rFonts w:ascii="Arial" w:eastAsia="Times New Roman" w:hAnsi="Arial" w:cs="Arial"/>
                <w:b/>
                <w:bCs/>
                <w:sz w:val="20"/>
                <w:szCs w:val="20"/>
                <w:lang w:eastAsia="en-GB"/>
              </w:rPr>
              <w:t>2</w:t>
            </w:r>
          </w:p>
        </w:tc>
        <w:tc>
          <w:tcPr>
            <w:tcW w:w="1275" w:type="dxa"/>
            <w:tcBorders>
              <w:top w:val="single" w:sz="12" w:space="0" w:color="auto"/>
              <w:left w:val="nil"/>
              <w:bottom w:val="single" w:sz="12" w:space="0" w:color="auto"/>
              <w:right w:val="nil"/>
            </w:tcBorders>
            <w:noWrap/>
            <w:vAlign w:val="center"/>
            <w:hideMark/>
          </w:tcPr>
          <w:p w14:paraId="365A5B78"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100%</w:t>
            </w:r>
          </w:p>
        </w:tc>
        <w:tc>
          <w:tcPr>
            <w:tcW w:w="1420" w:type="dxa"/>
            <w:tcBorders>
              <w:top w:val="single" w:sz="12" w:space="0" w:color="auto"/>
              <w:left w:val="single" w:sz="8" w:space="0" w:color="auto"/>
              <w:bottom w:val="single" w:sz="12" w:space="0" w:color="auto"/>
              <w:right w:val="nil"/>
            </w:tcBorders>
            <w:noWrap/>
            <w:vAlign w:val="center"/>
            <w:hideMark/>
          </w:tcPr>
          <w:p w14:paraId="4373EC3A"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32</w:t>
            </w:r>
          </w:p>
        </w:tc>
        <w:tc>
          <w:tcPr>
            <w:tcW w:w="1278" w:type="dxa"/>
            <w:tcBorders>
              <w:top w:val="single" w:sz="12" w:space="0" w:color="auto"/>
              <w:left w:val="nil"/>
              <w:bottom w:val="single" w:sz="12" w:space="0" w:color="auto"/>
              <w:right w:val="single" w:sz="8" w:space="0" w:color="auto"/>
            </w:tcBorders>
            <w:noWrap/>
            <w:vAlign w:val="center"/>
            <w:hideMark/>
          </w:tcPr>
          <w:p w14:paraId="513A3A8C"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100%</w:t>
            </w:r>
          </w:p>
        </w:tc>
        <w:tc>
          <w:tcPr>
            <w:tcW w:w="1417" w:type="dxa"/>
            <w:tcBorders>
              <w:top w:val="single" w:sz="12" w:space="0" w:color="auto"/>
              <w:left w:val="nil"/>
              <w:bottom w:val="single" w:sz="12" w:space="0" w:color="auto"/>
              <w:right w:val="nil"/>
            </w:tcBorders>
            <w:noWrap/>
            <w:vAlign w:val="center"/>
            <w:hideMark/>
          </w:tcPr>
          <w:p w14:paraId="41E4DFA8" w14:textId="77777777" w:rsidR="00A17C30" w:rsidRPr="00A17C30" w:rsidRDefault="00A17C30" w:rsidP="00A17C30">
            <w:pPr>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22</w:t>
            </w:r>
          </w:p>
        </w:tc>
        <w:tc>
          <w:tcPr>
            <w:tcW w:w="1276" w:type="dxa"/>
            <w:tcBorders>
              <w:top w:val="single" w:sz="12" w:space="0" w:color="auto"/>
              <w:left w:val="nil"/>
              <w:bottom w:val="single" w:sz="12" w:space="0" w:color="auto"/>
              <w:right w:val="single" w:sz="12" w:space="0" w:color="auto"/>
            </w:tcBorders>
            <w:noWrap/>
            <w:vAlign w:val="center"/>
            <w:hideMark/>
          </w:tcPr>
          <w:p w14:paraId="0464FEDC" w14:textId="77777777" w:rsidR="00A17C30" w:rsidRPr="00A17C30" w:rsidRDefault="00A17C30" w:rsidP="00027D8F">
            <w:pPr>
              <w:keepNext/>
              <w:spacing w:after="0" w:line="240" w:lineRule="auto"/>
              <w:jc w:val="center"/>
              <w:rPr>
                <w:rFonts w:ascii="Arial" w:eastAsia="Times New Roman" w:hAnsi="Arial" w:cs="Arial"/>
                <w:b/>
                <w:bCs/>
                <w:sz w:val="20"/>
                <w:szCs w:val="20"/>
                <w:lang w:eastAsia="en-GB"/>
              </w:rPr>
            </w:pPr>
            <w:r w:rsidRPr="00A17C30">
              <w:rPr>
                <w:rFonts w:ascii="Arial" w:eastAsia="Times New Roman" w:hAnsi="Arial" w:cs="Arial"/>
                <w:b/>
                <w:bCs/>
                <w:sz w:val="20"/>
                <w:szCs w:val="20"/>
                <w:lang w:eastAsia="en-GB"/>
              </w:rPr>
              <w:t>100%</w:t>
            </w:r>
          </w:p>
        </w:tc>
      </w:tr>
    </w:tbl>
    <w:p w14:paraId="47652209" w14:textId="0C70FAA3" w:rsidR="00426DCE" w:rsidRDefault="00027D8F" w:rsidP="00B477A2">
      <w:pPr>
        <w:pStyle w:val="Caption"/>
      </w:pPr>
      <w:bookmarkStart w:id="75" w:name="_Toc525406995"/>
      <w:r>
        <w:t xml:space="preserve">Table </w:t>
      </w:r>
      <w:r w:rsidR="00427FDC">
        <w:rPr>
          <w:noProof/>
        </w:rPr>
        <w:fldChar w:fldCharType="begin"/>
      </w:r>
      <w:r w:rsidR="00427FDC">
        <w:rPr>
          <w:noProof/>
        </w:rPr>
        <w:instrText xml:space="preserve"> SEQ Table \* ARABIC </w:instrText>
      </w:r>
      <w:r w:rsidR="00427FDC">
        <w:rPr>
          <w:noProof/>
        </w:rPr>
        <w:fldChar w:fldCharType="separate"/>
      </w:r>
      <w:r w:rsidR="00247F48">
        <w:rPr>
          <w:noProof/>
        </w:rPr>
        <w:t>4</w:t>
      </w:r>
      <w:r w:rsidR="00427FDC">
        <w:rPr>
          <w:noProof/>
        </w:rPr>
        <w:fldChar w:fldCharType="end"/>
      </w:r>
      <w:r>
        <w:t xml:space="preserve"> – Constituent countries S167 </w:t>
      </w:r>
      <w:r w:rsidR="00A673C2">
        <w:t>status</w:t>
      </w:r>
      <w:bookmarkEnd w:id="75"/>
    </w:p>
    <w:p w14:paraId="24D9EFEE" w14:textId="6CFCBA85" w:rsidR="00EA7904" w:rsidRDefault="000559BA" w:rsidP="000713AE">
      <w:r>
        <w:t>Welsh</w:t>
      </w:r>
      <w:r w:rsidR="003A620B">
        <w:t xml:space="preserve"> authorities </w:t>
      </w:r>
      <w:r w:rsidR="00623503">
        <w:t>have a distinctly higher uptake of the legislation than English or Scottish ones</w:t>
      </w:r>
      <w:r w:rsidR="003A620B">
        <w:t>.</w:t>
      </w:r>
    </w:p>
    <w:p w14:paraId="40957B6D" w14:textId="77777777" w:rsidR="00B24DCB" w:rsidRDefault="00B24DCB" w:rsidP="003B52A0">
      <w:r>
        <w:rPr>
          <w:noProof/>
        </w:rPr>
        <w:drawing>
          <wp:inline distT="0" distB="0" distL="0" distR="0" wp14:anchorId="05B7A588" wp14:editId="62D08FAD">
            <wp:extent cx="2428875" cy="1781175"/>
            <wp:effectExtent l="57150" t="57150" r="180975" b="180975"/>
            <wp:docPr id="10" name="Chart 10" descr="Pie chart: Authorities with 100% accessible fleets S167 implemented. No 58% Yes 42%.">
              <a:extLst xmlns:a="http://schemas.openxmlformats.org/drawingml/2006/main">
                <a:ext uri="{FF2B5EF4-FFF2-40B4-BE49-F238E27FC236}">
                  <a16:creationId xmlns:a16="http://schemas.microsoft.com/office/drawing/2014/main" id="{354A2892-8D3E-4AEB-BD5A-02A0FE16F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rPr>
          <w:noProof/>
        </w:rPr>
        <w:drawing>
          <wp:inline distT="0" distB="0" distL="0" distR="0" wp14:anchorId="792C5973" wp14:editId="7624D7A8">
            <wp:extent cx="2543175" cy="1781175"/>
            <wp:effectExtent l="57150" t="57150" r="180975" b="180975"/>
            <wp:docPr id="16" name="Chart 16" descr="Pie chart: Authorities with 100% accessible fleets S167 Grade. A 42% C 38% D 6% E 14%..">
              <a:extLst xmlns:a="http://schemas.openxmlformats.org/drawingml/2006/main">
                <a:ext uri="{FF2B5EF4-FFF2-40B4-BE49-F238E27FC236}">
                  <a16:creationId xmlns:a16="http://schemas.microsoft.com/office/drawing/2014/main" id="{E7F492B0-5690-4620-95A8-D10A6B2C2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p>
    <w:p w14:paraId="3BB8C171" w14:textId="194549C3" w:rsidR="00B24DCB" w:rsidRDefault="00B24DCB" w:rsidP="00B24DCB">
      <w:pPr>
        <w:pStyle w:val="Caption"/>
      </w:pPr>
      <w:bookmarkStart w:id="76" w:name="_Toc525407000"/>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3</w:t>
      </w:r>
      <w:r w:rsidR="00427FDC">
        <w:rPr>
          <w:noProof/>
        </w:rPr>
        <w:fldChar w:fldCharType="end"/>
      </w:r>
      <w:r>
        <w:t xml:space="preserve"> – Authorities with 100% accessible taxi fleets: approach to S167</w:t>
      </w:r>
      <w:bookmarkEnd w:id="76"/>
    </w:p>
    <w:p w14:paraId="22CE6B84" w14:textId="157F06BD" w:rsidR="000713AE" w:rsidRDefault="00B24DCB" w:rsidP="00B24DCB">
      <w:r>
        <w:t>Only 42% of authorities with 100% accessible taxi fleets have implemented S165-S167.</w:t>
      </w:r>
      <w:r w:rsidR="000713AE">
        <w:br w:type="page"/>
      </w:r>
    </w:p>
    <w:p w14:paraId="63FF7135" w14:textId="77777777" w:rsidR="00A17C30" w:rsidRDefault="00A17C30" w:rsidP="00A17C30">
      <w:pPr>
        <w:pStyle w:val="Heading2"/>
      </w:pPr>
      <w:bookmarkStart w:id="77" w:name="_Toc488088772"/>
      <w:bookmarkStart w:id="78" w:name="_Toc488093160"/>
      <w:bookmarkStart w:id="79" w:name="_Toc525413990"/>
      <w:r>
        <w:lastRenderedPageBreak/>
        <w:t>S167 Grade</w:t>
      </w:r>
      <w:bookmarkEnd w:id="77"/>
      <w:bookmarkEnd w:id="78"/>
      <w:bookmarkEnd w:id="79"/>
    </w:p>
    <w:p w14:paraId="59A6D851" w14:textId="77777777" w:rsidR="00654D8C" w:rsidRPr="00654D8C" w:rsidRDefault="00654D8C" w:rsidP="00654D8C"/>
    <w:p w14:paraId="70C58200" w14:textId="3019447A" w:rsidR="00A17C30" w:rsidRDefault="003B52A0" w:rsidP="00654D8C">
      <w:pPr>
        <w:jc w:val="center"/>
      </w:pPr>
      <w:r>
        <w:rPr>
          <w:noProof/>
        </w:rPr>
        <w:drawing>
          <wp:inline distT="0" distB="0" distL="0" distR="0" wp14:anchorId="5464C9B8" wp14:editId="7E7232E0">
            <wp:extent cx="5033963" cy="4572000"/>
            <wp:effectExtent l="38100" t="38100" r="186055" b="171450"/>
            <wp:docPr id="25" name="Chart 25" descr="Pie chart: GB Taxi Licensing Authorities S167 Grade May 2018. A 48% C 34% D 10% E 8%.">
              <a:extLst xmlns:a="http://schemas.openxmlformats.org/drawingml/2006/main">
                <a:ext uri="{FF2B5EF4-FFF2-40B4-BE49-F238E27FC236}">
                  <a16:creationId xmlns:a16="http://schemas.microsoft.com/office/drawing/2014/main" id="{A2083EB2-9461-42E9-A350-96473C565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5962" w:type="dxa"/>
        <w:jc w:val="center"/>
        <w:tblCellMar>
          <w:top w:w="15" w:type="dxa"/>
          <w:bottom w:w="15" w:type="dxa"/>
        </w:tblCellMar>
        <w:tblLook w:val="04A0" w:firstRow="1" w:lastRow="0" w:firstColumn="1" w:lastColumn="0" w:noHBand="0" w:noVBand="1"/>
      </w:tblPr>
      <w:tblGrid>
        <w:gridCol w:w="222"/>
        <w:gridCol w:w="1140"/>
        <w:gridCol w:w="4340"/>
        <w:gridCol w:w="260"/>
      </w:tblGrid>
      <w:tr w:rsidR="00BD361D" w:rsidRPr="00BD361D" w14:paraId="5267E30D" w14:textId="77777777" w:rsidTr="003B52A0">
        <w:trPr>
          <w:trHeight w:val="90"/>
          <w:jc w:val="center"/>
        </w:trPr>
        <w:tc>
          <w:tcPr>
            <w:tcW w:w="222" w:type="dxa"/>
            <w:tcBorders>
              <w:top w:val="single" w:sz="12" w:space="0" w:color="auto"/>
              <w:left w:val="single" w:sz="12" w:space="0" w:color="auto"/>
              <w:bottom w:val="nil"/>
              <w:right w:val="nil"/>
            </w:tcBorders>
            <w:shd w:val="clear" w:color="FFFFCC" w:fill="FFFFFF"/>
            <w:noWrap/>
            <w:vAlign w:val="bottom"/>
            <w:hideMark/>
          </w:tcPr>
          <w:p w14:paraId="64192D63"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single" w:sz="12" w:space="0" w:color="auto"/>
              <w:left w:val="nil"/>
              <w:bottom w:val="nil"/>
              <w:right w:val="nil"/>
            </w:tcBorders>
            <w:shd w:val="clear" w:color="FFFFCC" w:fill="FFFFFF"/>
            <w:noWrap/>
            <w:vAlign w:val="bottom"/>
            <w:hideMark/>
          </w:tcPr>
          <w:p w14:paraId="34EF24AE"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4340" w:type="dxa"/>
            <w:tcBorders>
              <w:top w:val="single" w:sz="12" w:space="0" w:color="auto"/>
              <w:left w:val="nil"/>
              <w:bottom w:val="nil"/>
              <w:right w:val="nil"/>
            </w:tcBorders>
            <w:shd w:val="clear" w:color="FFFFCC" w:fill="FFFFFF"/>
            <w:noWrap/>
            <w:vAlign w:val="bottom"/>
            <w:hideMark/>
          </w:tcPr>
          <w:p w14:paraId="555EE866"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260" w:type="dxa"/>
            <w:tcBorders>
              <w:top w:val="single" w:sz="12" w:space="0" w:color="auto"/>
              <w:left w:val="nil"/>
              <w:bottom w:val="nil"/>
              <w:right w:val="single" w:sz="12" w:space="0" w:color="auto"/>
            </w:tcBorders>
            <w:shd w:val="clear" w:color="FFFFCC" w:fill="FFFFFF"/>
            <w:noWrap/>
            <w:vAlign w:val="bottom"/>
            <w:hideMark/>
          </w:tcPr>
          <w:p w14:paraId="35066BF2"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r>
      <w:tr w:rsidR="00BD361D" w:rsidRPr="00BD361D" w14:paraId="2CF5DE8E" w14:textId="77777777" w:rsidTr="003B52A0">
        <w:trPr>
          <w:trHeight w:val="255"/>
          <w:jc w:val="center"/>
        </w:trPr>
        <w:tc>
          <w:tcPr>
            <w:tcW w:w="222" w:type="dxa"/>
            <w:tcBorders>
              <w:top w:val="nil"/>
              <w:left w:val="single" w:sz="12" w:space="0" w:color="auto"/>
              <w:bottom w:val="nil"/>
              <w:right w:val="nil"/>
            </w:tcBorders>
            <w:shd w:val="clear" w:color="FFFFCC" w:fill="FFFFFF"/>
            <w:noWrap/>
            <w:vAlign w:val="bottom"/>
            <w:hideMark/>
          </w:tcPr>
          <w:p w14:paraId="767E5624"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nil"/>
              <w:right w:val="nil"/>
            </w:tcBorders>
            <w:shd w:val="clear" w:color="FFFFCC" w:fill="FFFFFF"/>
            <w:noWrap/>
            <w:vAlign w:val="bottom"/>
            <w:hideMark/>
          </w:tcPr>
          <w:p w14:paraId="67BB9CE9"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LEGEND:</w:t>
            </w:r>
          </w:p>
        </w:tc>
        <w:tc>
          <w:tcPr>
            <w:tcW w:w="4340" w:type="dxa"/>
            <w:tcBorders>
              <w:top w:val="nil"/>
              <w:left w:val="nil"/>
              <w:bottom w:val="nil"/>
              <w:right w:val="nil"/>
            </w:tcBorders>
            <w:shd w:val="clear" w:color="FFFFCC" w:fill="FFFFFF"/>
            <w:noWrap/>
            <w:vAlign w:val="bottom"/>
            <w:hideMark/>
          </w:tcPr>
          <w:p w14:paraId="237F7DF9"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p>
        </w:tc>
        <w:tc>
          <w:tcPr>
            <w:tcW w:w="260" w:type="dxa"/>
            <w:tcBorders>
              <w:top w:val="nil"/>
              <w:left w:val="nil"/>
              <w:bottom w:val="nil"/>
              <w:right w:val="single" w:sz="12" w:space="0" w:color="auto"/>
            </w:tcBorders>
            <w:shd w:val="clear" w:color="FFFFCC" w:fill="FFFFFF"/>
            <w:noWrap/>
            <w:vAlign w:val="bottom"/>
            <w:hideMark/>
          </w:tcPr>
          <w:p w14:paraId="6D107F70"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r>
      <w:tr w:rsidR="00BD361D" w:rsidRPr="00BD361D" w14:paraId="7EC3F8F9" w14:textId="77777777" w:rsidTr="003B52A0">
        <w:trPr>
          <w:trHeight w:val="90"/>
          <w:jc w:val="center"/>
        </w:trPr>
        <w:tc>
          <w:tcPr>
            <w:tcW w:w="222" w:type="dxa"/>
            <w:tcBorders>
              <w:top w:val="nil"/>
              <w:left w:val="single" w:sz="12" w:space="0" w:color="auto"/>
              <w:bottom w:val="nil"/>
              <w:right w:val="nil"/>
            </w:tcBorders>
            <w:shd w:val="clear" w:color="FFFFCC" w:fill="FFFFFF"/>
            <w:noWrap/>
            <w:vAlign w:val="bottom"/>
            <w:hideMark/>
          </w:tcPr>
          <w:p w14:paraId="6F67B298"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nil"/>
              <w:right w:val="nil"/>
            </w:tcBorders>
            <w:shd w:val="clear" w:color="FFFFCC" w:fill="FFFFFF"/>
            <w:noWrap/>
            <w:vAlign w:val="bottom"/>
            <w:hideMark/>
          </w:tcPr>
          <w:p w14:paraId="783B5638"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4340" w:type="dxa"/>
            <w:tcBorders>
              <w:top w:val="nil"/>
              <w:left w:val="nil"/>
              <w:bottom w:val="nil"/>
              <w:right w:val="nil"/>
            </w:tcBorders>
            <w:shd w:val="clear" w:color="FFFFCC" w:fill="FFFFFF"/>
            <w:noWrap/>
            <w:vAlign w:val="bottom"/>
            <w:hideMark/>
          </w:tcPr>
          <w:p w14:paraId="17679CDB"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260" w:type="dxa"/>
            <w:tcBorders>
              <w:top w:val="nil"/>
              <w:left w:val="nil"/>
              <w:bottom w:val="nil"/>
              <w:right w:val="single" w:sz="12" w:space="0" w:color="auto"/>
            </w:tcBorders>
            <w:shd w:val="clear" w:color="FFFFCC" w:fill="FFFFFF"/>
            <w:noWrap/>
            <w:vAlign w:val="bottom"/>
            <w:hideMark/>
          </w:tcPr>
          <w:p w14:paraId="7CF9306E"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r>
      <w:tr w:rsidR="00BD361D" w:rsidRPr="00BD361D" w14:paraId="35951FD5" w14:textId="77777777" w:rsidTr="003B52A0">
        <w:trPr>
          <w:trHeight w:val="255"/>
          <w:jc w:val="center"/>
        </w:trPr>
        <w:tc>
          <w:tcPr>
            <w:tcW w:w="222" w:type="dxa"/>
            <w:tcBorders>
              <w:top w:val="nil"/>
              <w:left w:val="single" w:sz="12" w:space="0" w:color="auto"/>
              <w:bottom w:val="nil"/>
              <w:right w:val="nil"/>
            </w:tcBorders>
            <w:shd w:val="clear" w:color="FFFFCC" w:fill="FFFFFF"/>
            <w:noWrap/>
            <w:vAlign w:val="bottom"/>
            <w:hideMark/>
          </w:tcPr>
          <w:p w14:paraId="3F3362F7"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nil"/>
              <w:right w:val="nil"/>
            </w:tcBorders>
            <w:shd w:val="clear" w:color="FFFFCC" w:fill="B0CC66"/>
            <w:noWrap/>
            <w:vAlign w:val="bottom"/>
            <w:hideMark/>
          </w:tcPr>
          <w:p w14:paraId="316876F9" w14:textId="77777777" w:rsidR="00BD361D" w:rsidRPr="00BD361D" w:rsidRDefault="00BD361D" w:rsidP="00BD361D">
            <w:pPr>
              <w:spacing w:after="0" w:line="240" w:lineRule="auto"/>
              <w:jc w:val="center"/>
              <w:rPr>
                <w:rFonts w:ascii="Arial" w:eastAsia="Times New Roman" w:hAnsi="Arial" w:cs="Arial"/>
                <w:b/>
                <w:bCs/>
                <w:color w:val="375623"/>
                <w:sz w:val="20"/>
                <w:szCs w:val="20"/>
                <w:lang w:eastAsia="en-GB"/>
              </w:rPr>
            </w:pPr>
            <w:r w:rsidRPr="00BD361D">
              <w:rPr>
                <w:rFonts w:ascii="Arial" w:eastAsia="Times New Roman" w:hAnsi="Arial" w:cs="Arial"/>
                <w:b/>
                <w:bCs/>
                <w:color w:val="375623"/>
                <w:sz w:val="20"/>
                <w:szCs w:val="20"/>
                <w:lang w:eastAsia="en-GB"/>
              </w:rPr>
              <w:t>A</w:t>
            </w:r>
          </w:p>
        </w:tc>
        <w:tc>
          <w:tcPr>
            <w:tcW w:w="4340" w:type="dxa"/>
            <w:tcBorders>
              <w:top w:val="nil"/>
              <w:left w:val="nil"/>
              <w:bottom w:val="nil"/>
              <w:right w:val="nil"/>
            </w:tcBorders>
            <w:shd w:val="clear" w:color="FFFFCC" w:fill="FFFFFF"/>
            <w:noWrap/>
            <w:vAlign w:val="bottom"/>
            <w:hideMark/>
          </w:tcPr>
          <w:p w14:paraId="0FA8EEC0"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Current S167 list</w:t>
            </w:r>
          </w:p>
        </w:tc>
        <w:tc>
          <w:tcPr>
            <w:tcW w:w="260" w:type="dxa"/>
            <w:tcBorders>
              <w:top w:val="nil"/>
              <w:left w:val="nil"/>
              <w:bottom w:val="nil"/>
              <w:right w:val="single" w:sz="12" w:space="0" w:color="auto"/>
            </w:tcBorders>
            <w:shd w:val="clear" w:color="FFFFCC" w:fill="FFFFFF"/>
            <w:noWrap/>
            <w:vAlign w:val="bottom"/>
            <w:hideMark/>
          </w:tcPr>
          <w:p w14:paraId="5EDBE961"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p>
        </w:tc>
      </w:tr>
      <w:tr w:rsidR="00BD361D" w:rsidRPr="00BD361D" w14:paraId="76878539" w14:textId="77777777" w:rsidTr="003B52A0">
        <w:trPr>
          <w:trHeight w:val="255"/>
          <w:jc w:val="center"/>
        </w:trPr>
        <w:tc>
          <w:tcPr>
            <w:tcW w:w="222" w:type="dxa"/>
            <w:tcBorders>
              <w:top w:val="nil"/>
              <w:left w:val="single" w:sz="12" w:space="0" w:color="auto"/>
              <w:bottom w:val="nil"/>
              <w:right w:val="nil"/>
            </w:tcBorders>
            <w:shd w:val="clear" w:color="FFFFCC" w:fill="FFFFFF"/>
            <w:noWrap/>
            <w:vAlign w:val="bottom"/>
            <w:hideMark/>
          </w:tcPr>
          <w:p w14:paraId="0907033D"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nil"/>
              <w:right w:val="nil"/>
            </w:tcBorders>
            <w:shd w:val="clear" w:color="FFFFCC" w:fill="FFFF66"/>
            <w:noWrap/>
            <w:vAlign w:val="bottom"/>
            <w:hideMark/>
          </w:tcPr>
          <w:p w14:paraId="6D14038A" w14:textId="77777777" w:rsidR="00BD361D" w:rsidRPr="00BD361D" w:rsidRDefault="00BD361D" w:rsidP="00BD361D">
            <w:pPr>
              <w:spacing w:after="0" w:line="240" w:lineRule="auto"/>
              <w:jc w:val="center"/>
              <w:rPr>
                <w:rFonts w:ascii="Arial" w:eastAsia="Times New Roman" w:hAnsi="Arial" w:cs="Arial"/>
                <w:b/>
                <w:bCs/>
                <w:color w:val="806000"/>
                <w:sz w:val="20"/>
                <w:szCs w:val="20"/>
                <w:lang w:eastAsia="en-GB"/>
              </w:rPr>
            </w:pPr>
            <w:r w:rsidRPr="00BD361D">
              <w:rPr>
                <w:rFonts w:ascii="Arial" w:eastAsia="Times New Roman" w:hAnsi="Arial" w:cs="Arial"/>
                <w:b/>
                <w:bCs/>
                <w:color w:val="806000"/>
                <w:sz w:val="20"/>
                <w:szCs w:val="20"/>
                <w:lang w:eastAsia="en-GB"/>
              </w:rPr>
              <w:t>C</w:t>
            </w:r>
          </w:p>
        </w:tc>
        <w:tc>
          <w:tcPr>
            <w:tcW w:w="4340" w:type="dxa"/>
            <w:tcBorders>
              <w:top w:val="nil"/>
              <w:left w:val="nil"/>
              <w:bottom w:val="nil"/>
              <w:right w:val="nil"/>
            </w:tcBorders>
            <w:shd w:val="clear" w:color="FFFFCC" w:fill="FFFFFF"/>
            <w:noWrap/>
            <w:vAlign w:val="bottom"/>
            <w:hideMark/>
          </w:tcPr>
          <w:p w14:paraId="33D8B0CE" w14:textId="7CE3A30C" w:rsidR="00BD361D" w:rsidRPr="00BD361D" w:rsidRDefault="003B52A0" w:rsidP="00BD361D">
            <w:pPr>
              <w:spacing w:after="0" w:line="240" w:lineRule="auto"/>
              <w:jc w:val="lef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Intend to p</w:t>
            </w:r>
            <w:r w:rsidR="00BD361D" w:rsidRPr="00BD361D">
              <w:rPr>
                <w:rFonts w:ascii="Arial" w:eastAsia="Times New Roman" w:hAnsi="Arial" w:cs="Arial"/>
                <w:b/>
                <w:bCs/>
                <w:color w:val="000000"/>
                <w:sz w:val="20"/>
                <w:szCs w:val="20"/>
                <w:lang w:eastAsia="en-GB"/>
              </w:rPr>
              <w:t>roduc</w:t>
            </w:r>
            <w:r>
              <w:rPr>
                <w:rFonts w:ascii="Arial" w:eastAsia="Times New Roman" w:hAnsi="Arial" w:cs="Arial"/>
                <w:b/>
                <w:bCs/>
                <w:color w:val="000000"/>
                <w:sz w:val="20"/>
                <w:szCs w:val="20"/>
                <w:lang w:eastAsia="en-GB"/>
              </w:rPr>
              <w:t>e</w:t>
            </w:r>
            <w:r w:rsidR="00BD361D" w:rsidRPr="00BD361D">
              <w:rPr>
                <w:rFonts w:ascii="Arial" w:eastAsia="Times New Roman" w:hAnsi="Arial" w:cs="Arial"/>
                <w:b/>
                <w:bCs/>
                <w:color w:val="000000"/>
                <w:sz w:val="20"/>
                <w:szCs w:val="20"/>
                <w:lang w:eastAsia="en-GB"/>
              </w:rPr>
              <w:t xml:space="preserve"> S167 list</w:t>
            </w:r>
          </w:p>
        </w:tc>
        <w:tc>
          <w:tcPr>
            <w:tcW w:w="260" w:type="dxa"/>
            <w:tcBorders>
              <w:top w:val="nil"/>
              <w:left w:val="nil"/>
              <w:bottom w:val="nil"/>
              <w:right w:val="single" w:sz="12" w:space="0" w:color="auto"/>
            </w:tcBorders>
            <w:shd w:val="clear" w:color="FFFFCC" w:fill="FFFFFF"/>
            <w:noWrap/>
            <w:vAlign w:val="bottom"/>
            <w:hideMark/>
          </w:tcPr>
          <w:p w14:paraId="1B03A96D"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p>
        </w:tc>
      </w:tr>
      <w:tr w:rsidR="00BD361D" w:rsidRPr="00BD361D" w14:paraId="183DA2A2" w14:textId="77777777" w:rsidTr="003B52A0">
        <w:trPr>
          <w:trHeight w:val="255"/>
          <w:jc w:val="center"/>
        </w:trPr>
        <w:tc>
          <w:tcPr>
            <w:tcW w:w="222" w:type="dxa"/>
            <w:tcBorders>
              <w:top w:val="nil"/>
              <w:left w:val="single" w:sz="12" w:space="0" w:color="auto"/>
              <w:bottom w:val="nil"/>
              <w:right w:val="nil"/>
            </w:tcBorders>
            <w:shd w:val="clear" w:color="FFFFCC" w:fill="FFFFFF"/>
            <w:noWrap/>
            <w:vAlign w:val="bottom"/>
            <w:hideMark/>
          </w:tcPr>
          <w:p w14:paraId="480ED89D"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nil"/>
              <w:right w:val="nil"/>
            </w:tcBorders>
            <w:shd w:val="clear" w:color="FFFFCC" w:fill="FFC267"/>
            <w:noWrap/>
            <w:vAlign w:val="bottom"/>
            <w:hideMark/>
          </w:tcPr>
          <w:p w14:paraId="7C98D114" w14:textId="77777777" w:rsidR="00BD361D" w:rsidRPr="00BD361D" w:rsidRDefault="00BD361D" w:rsidP="00BD361D">
            <w:pPr>
              <w:spacing w:after="0" w:line="240" w:lineRule="auto"/>
              <w:jc w:val="center"/>
              <w:rPr>
                <w:rFonts w:ascii="Arial" w:eastAsia="Times New Roman" w:hAnsi="Arial" w:cs="Arial"/>
                <w:b/>
                <w:bCs/>
                <w:color w:val="833C0C"/>
                <w:sz w:val="20"/>
                <w:szCs w:val="20"/>
                <w:lang w:eastAsia="en-GB"/>
              </w:rPr>
            </w:pPr>
            <w:r w:rsidRPr="00BD361D">
              <w:rPr>
                <w:rFonts w:ascii="Arial" w:eastAsia="Times New Roman" w:hAnsi="Arial" w:cs="Arial"/>
                <w:b/>
                <w:bCs/>
                <w:color w:val="833C0C"/>
                <w:sz w:val="20"/>
                <w:szCs w:val="20"/>
                <w:lang w:eastAsia="en-GB"/>
              </w:rPr>
              <w:t>D</w:t>
            </w:r>
          </w:p>
        </w:tc>
        <w:tc>
          <w:tcPr>
            <w:tcW w:w="4340" w:type="dxa"/>
            <w:tcBorders>
              <w:top w:val="nil"/>
              <w:left w:val="nil"/>
              <w:bottom w:val="nil"/>
              <w:right w:val="nil"/>
            </w:tcBorders>
            <w:shd w:val="clear" w:color="FFFFCC" w:fill="FFFFFF"/>
            <w:noWrap/>
            <w:vAlign w:val="bottom"/>
            <w:hideMark/>
          </w:tcPr>
          <w:p w14:paraId="0D99E880"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Undecided whether producing S167 list</w:t>
            </w:r>
          </w:p>
        </w:tc>
        <w:tc>
          <w:tcPr>
            <w:tcW w:w="260" w:type="dxa"/>
            <w:tcBorders>
              <w:top w:val="nil"/>
              <w:left w:val="nil"/>
              <w:bottom w:val="nil"/>
              <w:right w:val="single" w:sz="12" w:space="0" w:color="auto"/>
            </w:tcBorders>
            <w:shd w:val="clear" w:color="FFFFCC" w:fill="FFFFFF"/>
            <w:noWrap/>
            <w:vAlign w:val="bottom"/>
            <w:hideMark/>
          </w:tcPr>
          <w:p w14:paraId="64793045"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p>
        </w:tc>
      </w:tr>
      <w:tr w:rsidR="00BD361D" w:rsidRPr="00BD361D" w14:paraId="57744EA2" w14:textId="77777777" w:rsidTr="003B52A0">
        <w:trPr>
          <w:trHeight w:val="255"/>
          <w:jc w:val="center"/>
        </w:trPr>
        <w:tc>
          <w:tcPr>
            <w:tcW w:w="222" w:type="dxa"/>
            <w:tcBorders>
              <w:top w:val="nil"/>
              <w:left w:val="single" w:sz="12" w:space="0" w:color="auto"/>
              <w:bottom w:val="nil"/>
              <w:right w:val="nil"/>
            </w:tcBorders>
            <w:shd w:val="clear" w:color="FFFFCC" w:fill="FFFFFF"/>
            <w:noWrap/>
            <w:vAlign w:val="bottom"/>
            <w:hideMark/>
          </w:tcPr>
          <w:p w14:paraId="0F94D2FB"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nil"/>
              <w:right w:val="nil"/>
            </w:tcBorders>
            <w:shd w:val="clear" w:color="FFFFCC" w:fill="FE7966"/>
            <w:noWrap/>
            <w:vAlign w:val="bottom"/>
            <w:hideMark/>
          </w:tcPr>
          <w:p w14:paraId="5B6EAE84" w14:textId="77777777" w:rsidR="00BD361D" w:rsidRPr="00BD361D" w:rsidRDefault="00BD361D" w:rsidP="00BD361D">
            <w:pPr>
              <w:spacing w:after="0" w:line="240" w:lineRule="auto"/>
              <w:jc w:val="center"/>
              <w:rPr>
                <w:rFonts w:ascii="Arial" w:eastAsia="Times New Roman" w:hAnsi="Arial" w:cs="Arial"/>
                <w:b/>
                <w:bCs/>
                <w:color w:val="161616"/>
                <w:sz w:val="20"/>
                <w:szCs w:val="20"/>
                <w:lang w:eastAsia="en-GB"/>
              </w:rPr>
            </w:pPr>
            <w:r w:rsidRPr="00BD361D">
              <w:rPr>
                <w:rFonts w:ascii="Arial" w:eastAsia="Times New Roman" w:hAnsi="Arial" w:cs="Arial"/>
                <w:b/>
                <w:bCs/>
                <w:color w:val="161616"/>
                <w:sz w:val="20"/>
                <w:szCs w:val="20"/>
                <w:lang w:eastAsia="en-GB"/>
              </w:rPr>
              <w:t>E</w:t>
            </w:r>
          </w:p>
        </w:tc>
        <w:tc>
          <w:tcPr>
            <w:tcW w:w="4340" w:type="dxa"/>
            <w:tcBorders>
              <w:top w:val="nil"/>
              <w:left w:val="nil"/>
              <w:bottom w:val="nil"/>
              <w:right w:val="nil"/>
            </w:tcBorders>
            <w:shd w:val="clear" w:color="FFFFCC" w:fill="FFFFFF"/>
            <w:noWrap/>
            <w:vAlign w:val="bottom"/>
            <w:hideMark/>
          </w:tcPr>
          <w:p w14:paraId="4029D4CC"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No current plans to produce S167 list</w:t>
            </w:r>
          </w:p>
        </w:tc>
        <w:tc>
          <w:tcPr>
            <w:tcW w:w="260" w:type="dxa"/>
            <w:tcBorders>
              <w:top w:val="nil"/>
              <w:left w:val="nil"/>
              <w:bottom w:val="nil"/>
              <w:right w:val="single" w:sz="12" w:space="0" w:color="auto"/>
            </w:tcBorders>
            <w:shd w:val="clear" w:color="FFFFCC" w:fill="FFFFFF"/>
            <w:noWrap/>
            <w:vAlign w:val="bottom"/>
            <w:hideMark/>
          </w:tcPr>
          <w:p w14:paraId="1FD55D98" w14:textId="77777777" w:rsidR="00BD361D" w:rsidRPr="00BD361D" w:rsidRDefault="00BD361D" w:rsidP="00BD361D">
            <w:pPr>
              <w:spacing w:after="0" w:line="240" w:lineRule="auto"/>
              <w:jc w:val="left"/>
              <w:rPr>
                <w:rFonts w:ascii="Arial" w:eastAsia="Times New Roman" w:hAnsi="Arial" w:cs="Arial"/>
                <w:b/>
                <w:bCs/>
                <w:color w:val="000000"/>
                <w:sz w:val="20"/>
                <w:szCs w:val="20"/>
                <w:lang w:eastAsia="en-GB"/>
              </w:rPr>
            </w:pPr>
          </w:p>
        </w:tc>
      </w:tr>
      <w:tr w:rsidR="00BD361D" w:rsidRPr="00BD361D" w14:paraId="35038123" w14:textId="77777777" w:rsidTr="003B52A0">
        <w:trPr>
          <w:trHeight w:val="135"/>
          <w:jc w:val="center"/>
        </w:trPr>
        <w:tc>
          <w:tcPr>
            <w:tcW w:w="222" w:type="dxa"/>
            <w:tcBorders>
              <w:top w:val="nil"/>
              <w:left w:val="single" w:sz="12" w:space="0" w:color="auto"/>
              <w:bottom w:val="single" w:sz="12" w:space="0" w:color="auto"/>
              <w:right w:val="nil"/>
            </w:tcBorders>
            <w:shd w:val="clear" w:color="FFFFCC" w:fill="FFFFFF"/>
            <w:noWrap/>
            <w:vAlign w:val="bottom"/>
            <w:hideMark/>
          </w:tcPr>
          <w:p w14:paraId="23F98275"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1140" w:type="dxa"/>
            <w:tcBorders>
              <w:top w:val="nil"/>
              <w:left w:val="nil"/>
              <w:bottom w:val="single" w:sz="12" w:space="0" w:color="auto"/>
              <w:right w:val="nil"/>
            </w:tcBorders>
            <w:shd w:val="clear" w:color="FFFFCC" w:fill="FFFFFF"/>
            <w:noWrap/>
            <w:vAlign w:val="bottom"/>
            <w:hideMark/>
          </w:tcPr>
          <w:p w14:paraId="360E81AB"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4340" w:type="dxa"/>
            <w:tcBorders>
              <w:top w:val="nil"/>
              <w:left w:val="nil"/>
              <w:bottom w:val="single" w:sz="12" w:space="0" w:color="auto"/>
              <w:right w:val="nil"/>
            </w:tcBorders>
            <w:shd w:val="clear" w:color="FFFFCC" w:fill="FFFFFF"/>
            <w:noWrap/>
            <w:vAlign w:val="bottom"/>
            <w:hideMark/>
          </w:tcPr>
          <w:p w14:paraId="65915BAE" w14:textId="77777777" w:rsidR="00BD361D" w:rsidRPr="00BD361D" w:rsidRDefault="00BD361D" w:rsidP="00BD361D">
            <w:pPr>
              <w:spacing w:after="0" w:line="240" w:lineRule="auto"/>
              <w:jc w:val="left"/>
              <w:rPr>
                <w:rFonts w:ascii="Times New Roman" w:eastAsia="Times New Roman" w:hAnsi="Times New Roman"/>
                <w:sz w:val="20"/>
                <w:szCs w:val="20"/>
                <w:lang w:eastAsia="en-GB"/>
              </w:rPr>
            </w:pPr>
          </w:p>
        </w:tc>
        <w:tc>
          <w:tcPr>
            <w:tcW w:w="260" w:type="dxa"/>
            <w:tcBorders>
              <w:top w:val="nil"/>
              <w:left w:val="nil"/>
              <w:bottom w:val="single" w:sz="12" w:space="0" w:color="auto"/>
              <w:right w:val="single" w:sz="12" w:space="0" w:color="auto"/>
            </w:tcBorders>
            <w:shd w:val="clear" w:color="FFFFCC" w:fill="FFFFFF"/>
            <w:noWrap/>
            <w:vAlign w:val="bottom"/>
            <w:hideMark/>
          </w:tcPr>
          <w:p w14:paraId="147704E5" w14:textId="77777777" w:rsidR="00BD361D" w:rsidRPr="00BD361D" w:rsidRDefault="00BD361D" w:rsidP="00027D8F">
            <w:pPr>
              <w:keepNext/>
              <w:spacing w:after="0" w:line="240" w:lineRule="auto"/>
              <w:jc w:val="left"/>
              <w:rPr>
                <w:rFonts w:ascii="Times New Roman" w:eastAsia="Times New Roman" w:hAnsi="Times New Roman"/>
                <w:sz w:val="20"/>
                <w:szCs w:val="20"/>
                <w:lang w:eastAsia="en-GB"/>
              </w:rPr>
            </w:pPr>
          </w:p>
        </w:tc>
      </w:tr>
    </w:tbl>
    <w:p w14:paraId="627DDB2D" w14:textId="1749122B" w:rsidR="00BD361D" w:rsidRDefault="00027D8F" w:rsidP="00B477A2">
      <w:pPr>
        <w:pStyle w:val="Caption"/>
        <w:ind w:left="5040" w:firstLine="720"/>
        <w:jc w:val="left"/>
      </w:pPr>
      <w:bookmarkStart w:id="80" w:name="_Toc488087942"/>
      <w:bookmarkStart w:id="81" w:name="_Toc488087988"/>
      <w:bookmarkStart w:id="82" w:name="_Toc525407001"/>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4</w:t>
      </w:r>
      <w:r w:rsidR="00427FDC">
        <w:rPr>
          <w:noProof/>
        </w:rPr>
        <w:fldChar w:fldCharType="end"/>
      </w:r>
      <w:r>
        <w:t xml:space="preserve"> – GB S167 grades</w:t>
      </w:r>
      <w:bookmarkEnd w:id="80"/>
      <w:bookmarkEnd w:id="81"/>
      <w:bookmarkEnd w:id="82"/>
    </w:p>
    <w:p w14:paraId="114E47C9" w14:textId="77777777" w:rsidR="00654D8C" w:rsidRDefault="00654D8C">
      <w:r>
        <w:br w:type="page"/>
      </w:r>
    </w:p>
    <w:tbl>
      <w:tblPr>
        <w:tblW w:w="8240" w:type="dxa"/>
        <w:jc w:val="center"/>
        <w:tblCellMar>
          <w:top w:w="15" w:type="dxa"/>
          <w:bottom w:w="15" w:type="dxa"/>
        </w:tblCellMar>
        <w:tblLook w:val="04E0" w:firstRow="1" w:lastRow="1" w:firstColumn="1" w:lastColumn="0" w:noHBand="0" w:noVBand="1"/>
      </w:tblPr>
      <w:tblGrid>
        <w:gridCol w:w="3040"/>
        <w:gridCol w:w="2240"/>
        <w:gridCol w:w="2960"/>
      </w:tblGrid>
      <w:tr w:rsidR="00BD361D" w:rsidRPr="00BD361D" w14:paraId="7434A966" w14:textId="77777777" w:rsidTr="00C6428D">
        <w:trPr>
          <w:trHeight w:val="255"/>
          <w:jc w:val="center"/>
        </w:trPr>
        <w:tc>
          <w:tcPr>
            <w:tcW w:w="3040" w:type="dxa"/>
            <w:tcBorders>
              <w:top w:val="single" w:sz="12" w:space="0" w:color="auto"/>
              <w:left w:val="single" w:sz="12" w:space="0" w:color="auto"/>
              <w:bottom w:val="single" w:sz="8" w:space="0" w:color="A5A5A5"/>
              <w:right w:val="single" w:sz="4" w:space="0" w:color="A5A5A5"/>
            </w:tcBorders>
            <w:noWrap/>
            <w:vAlign w:val="bottom"/>
            <w:hideMark/>
          </w:tcPr>
          <w:p w14:paraId="032495DB" w14:textId="77777777" w:rsidR="00BD361D" w:rsidRPr="00BD361D" w:rsidRDefault="00BD361D" w:rsidP="00BD361D">
            <w:pPr>
              <w:spacing w:after="0" w:line="240" w:lineRule="auto"/>
              <w:jc w:val="center"/>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lastRenderedPageBreak/>
              <w:t>S167 status</w:t>
            </w:r>
          </w:p>
        </w:tc>
        <w:tc>
          <w:tcPr>
            <w:tcW w:w="2240" w:type="dxa"/>
            <w:tcBorders>
              <w:top w:val="single" w:sz="12" w:space="0" w:color="auto"/>
              <w:left w:val="nil"/>
              <w:bottom w:val="single" w:sz="8" w:space="0" w:color="A5A5A5"/>
              <w:right w:val="nil"/>
            </w:tcBorders>
            <w:shd w:val="clear" w:color="FFFFCC" w:fill="FFFFFF"/>
            <w:noWrap/>
            <w:vAlign w:val="bottom"/>
            <w:hideMark/>
          </w:tcPr>
          <w:p w14:paraId="2D95B000" w14:textId="77777777" w:rsidR="00BD361D" w:rsidRPr="00BD361D" w:rsidRDefault="00BD361D" w:rsidP="00BD361D">
            <w:pPr>
              <w:spacing w:after="0" w:line="240" w:lineRule="auto"/>
              <w:jc w:val="center"/>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 Authorities</w:t>
            </w:r>
          </w:p>
        </w:tc>
        <w:tc>
          <w:tcPr>
            <w:tcW w:w="2960" w:type="dxa"/>
            <w:tcBorders>
              <w:top w:val="single" w:sz="12" w:space="0" w:color="auto"/>
              <w:left w:val="nil"/>
              <w:bottom w:val="single" w:sz="8" w:space="0" w:color="A5A5A5"/>
              <w:right w:val="single" w:sz="12" w:space="0" w:color="auto"/>
            </w:tcBorders>
            <w:noWrap/>
            <w:vAlign w:val="bottom"/>
            <w:hideMark/>
          </w:tcPr>
          <w:p w14:paraId="628DC7BE" w14:textId="77777777" w:rsidR="00BD361D" w:rsidRPr="00BD361D" w:rsidRDefault="00BD361D" w:rsidP="00BD361D">
            <w:pPr>
              <w:spacing w:after="0" w:line="240" w:lineRule="auto"/>
              <w:jc w:val="center"/>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 Authorities</w:t>
            </w:r>
          </w:p>
        </w:tc>
      </w:tr>
      <w:tr w:rsidR="00BD361D" w:rsidRPr="00BD361D" w14:paraId="09AEA9F4" w14:textId="77777777" w:rsidTr="00C6428D">
        <w:trPr>
          <w:trHeight w:val="255"/>
          <w:jc w:val="center"/>
        </w:trPr>
        <w:tc>
          <w:tcPr>
            <w:tcW w:w="3040" w:type="dxa"/>
            <w:tcBorders>
              <w:top w:val="single" w:sz="4" w:space="0" w:color="DBDBDB"/>
              <w:left w:val="single" w:sz="12" w:space="0" w:color="auto"/>
              <w:bottom w:val="single" w:sz="4" w:space="0" w:color="DBDBDB"/>
              <w:right w:val="single" w:sz="4" w:space="0" w:color="A5A5A5"/>
            </w:tcBorders>
            <w:shd w:val="clear" w:color="000000" w:fill="B0CC66"/>
            <w:noWrap/>
            <w:vAlign w:val="bottom"/>
            <w:hideMark/>
          </w:tcPr>
          <w:p w14:paraId="2353A50B" w14:textId="77777777" w:rsidR="00BD361D" w:rsidRPr="00BD361D" w:rsidRDefault="00BD361D" w:rsidP="00BD361D">
            <w:pPr>
              <w:spacing w:after="0" w:line="240" w:lineRule="auto"/>
              <w:jc w:val="center"/>
              <w:rPr>
                <w:rFonts w:ascii="Arial" w:eastAsia="Times New Roman" w:hAnsi="Arial" w:cs="Arial"/>
                <w:b/>
                <w:bCs/>
                <w:color w:val="375623"/>
                <w:sz w:val="20"/>
                <w:szCs w:val="20"/>
                <w:lang w:eastAsia="en-GB"/>
              </w:rPr>
            </w:pPr>
            <w:r w:rsidRPr="00BD361D">
              <w:rPr>
                <w:rFonts w:ascii="Arial" w:eastAsia="Times New Roman" w:hAnsi="Arial" w:cs="Arial"/>
                <w:b/>
                <w:bCs/>
                <w:color w:val="375623"/>
                <w:sz w:val="20"/>
                <w:szCs w:val="20"/>
                <w:lang w:eastAsia="en-GB"/>
              </w:rPr>
              <w:t>A</w:t>
            </w:r>
          </w:p>
        </w:tc>
        <w:tc>
          <w:tcPr>
            <w:tcW w:w="2240" w:type="dxa"/>
            <w:tcBorders>
              <w:top w:val="single" w:sz="4" w:space="0" w:color="DBDBDB"/>
              <w:left w:val="nil"/>
              <w:bottom w:val="single" w:sz="4" w:space="0" w:color="DBDBDB"/>
              <w:right w:val="nil"/>
            </w:tcBorders>
            <w:noWrap/>
            <w:vAlign w:val="bottom"/>
            <w:hideMark/>
          </w:tcPr>
          <w:p w14:paraId="5AEF5B8E" w14:textId="68E2B007"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167</w:t>
            </w:r>
          </w:p>
        </w:tc>
        <w:tc>
          <w:tcPr>
            <w:tcW w:w="2960" w:type="dxa"/>
            <w:tcBorders>
              <w:top w:val="single" w:sz="4" w:space="0" w:color="DBDBDB"/>
              <w:left w:val="nil"/>
              <w:bottom w:val="single" w:sz="4" w:space="0" w:color="DBDBDB"/>
              <w:right w:val="single" w:sz="12" w:space="0" w:color="auto"/>
            </w:tcBorders>
            <w:noWrap/>
            <w:vAlign w:val="bottom"/>
            <w:hideMark/>
          </w:tcPr>
          <w:p w14:paraId="2B983825" w14:textId="74B63927"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48</w:t>
            </w:r>
            <w:r w:rsidR="00BD361D" w:rsidRPr="00E1520E">
              <w:rPr>
                <w:rFonts w:ascii="Arial" w:eastAsia="Times New Roman" w:hAnsi="Arial" w:cs="Arial"/>
                <w:sz w:val="20"/>
                <w:szCs w:val="20"/>
                <w:lang w:eastAsia="en-GB"/>
              </w:rPr>
              <w:t>%</w:t>
            </w:r>
          </w:p>
        </w:tc>
      </w:tr>
      <w:tr w:rsidR="00BD361D" w:rsidRPr="00BD361D" w14:paraId="7A4EA59A" w14:textId="77777777" w:rsidTr="00C6428D">
        <w:trPr>
          <w:trHeight w:val="255"/>
          <w:jc w:val="center"/>
        </w:trPr>
        <w:tc>
          <w:tcPr>
            <w:tcW w:w="3040" w:type="dxa"/>
            <w:tcBorders>
              <w:top w:val="single" w:sz="4" w:space="0" w:color="DBDBDB"/>
              <w:left w:val="single" w:sz="12" w:space="0" w:color="auto"/>
              <w:bottom w:val="single" w:sz="4" w:space="0" w:color="DBDBDB"/>
              <w:right w:val="single" w:sz="4" w:space="0" w:color="A5A5A5"/>
            </w:tcBorders>
            <w:shd w:val="clear" w:color="000000" w:fill="FFFF66"/>
            <w:noWrap/>
            <w:vAlign w:val="bottom"/>
            <w:hideMark/>
          </w:tcPr>
          <w:p w14:paraId="1F08628B" w14:textId="77777777" w:rsidR="00BD361D" w:rsidRPr="00BD361D" w:rsidRDefault="00BD361D" w:rsidP="00BD361D">
            <w:pPr>
              <w:spacing w:after="0" w:line="240" w:lineRule="auto"/>
              <w:jc w:val="center"/>
              <w:rPr>
                <w:rFonts w:ascii="Arial" w:eastAsia="Times New Roman" w:hAnsi="Arial" w:cs="Arial"/>
                <w:b/>
                <w:bCs/>
                <w:color w:val="806000"/>
                <w:sz w:val="20"/>
                <w:szCs w:val="20"/>
                <w:lang w:eastAsia="en-GB"/>
              </w:rPr>
            </w:pPr>
            <w:r w:rsidRPr="00BD361D">
              <w:rPr>
                <w:rFonts w:ascii="Arial" w:eastAsia="Times New Roman" w:hAnsi="Arial" w:cs="Arial"/>
                <w:b/>
                <w:bCs/>
                <w:color w:val="806000"/>
                <w:sz w:val="20"/>
                <w:szCs w:val="20"/>
                <w:lang w:eastAsia="en-GB"/>
              </w:rPr>
              <w:t>C</w:t>
            </w:r>
          </w:p>
        </w:tc>
        <w:tc>
          <w:tcPr>
            <w:tcW w:w="2240" w:type="dxa"/>
            <w:tcBorders>
              <w:top w:val="single" w:sz="4" w:space="0" w:color="DBDBDB"/>
              <w:left w:val="nil"/>
              <w:bottom w:val="single" w:sz="4" w:space="0" w:color="DBDBDB"/>
              <w:right w:val="nil"/>
            </w:tcBorders>
            <w:noWrap/>
            <w:vAlign w:val="bottom"/>
            <w:hideMark/>
          </w:tcPr>
          <w:p w14:paraId="1FB93036" w14:textId="73103A8A"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118</w:t>
            </w:r>
          </w:p>
        </w:tc>
        <w:tc>
          <w:tcPr>
            <w:tcW w:w="2960" w:type="dxa"/>
            <w:tcBorders>
              <w:top w:val="single" w:sz="4" w:space="0" w:color="DBDBDB"/>
              <w:left w:val="nil"/>
              <w:bottom w:val="single" w:sz="4" w:space="0" w:color="DBDBDB"/>
              <w:right w:val="single" w:sz="12" w:space="0" w:color="auto"/>
            </w:tcBorders>
            <w:noWrap/>
            <w:vAlign w:val="bottom"/>
            <w:hideMark/>
          </w:tcPr>
          <w:p w14:paraId="1E7B468F" w14:textId="6EA2C619"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34</w:t>
            </w:r>
            <w:r w:rsidR="00BD361D" w:rsidRPr="00E1520E">
              <w:rPr>
                <w:rFonts w:ascii="Arial" w:eastAsia="Times New Roman" w:hAnsi="Arial" w:cs="Arial"/>
                <w:sz w:val="20"/>
                <w:szCs w:val="20"/>
                <w:lang w:eastAsia="en-GB"/>
              </w:rPr>
              <w:t>%</w:t>
            </w:r>
          </w:p>
        </w:tc>
      </w:tr>
      <w:tr w:rsidR="00BD361D" w:rsidRPr="00BD361D" w14:paraId="78D21AB0" w14:textId="77777777" w:rsidTr="00C6428D">
        <w:trPr>
          <w:trHeight w:val="255"/>
          <w:jc w:val="center"/>
        </w:trPr>
        <w:tc>
          <w:tcPr>
            <w:tcW w:w="3040" w:type="dxa"/>
            <w:tcBorders>
              <w:top w:val="single" w:sz="4" w:space="0" w:color="EDEDED"/>
              <w:left w:val="single" w:sz="12" w:space="0" w:color="auto"/>
              <w:bottom w:val="single" w:sz="4" w:space="0" w:color="EDEDED"/>
              <w:right w:val="single" w:sz="4" w:space="0" w:color="A5A5A5"/>
            </w:tcBorders>
            <w:shd w:val="clear" w:color="000000" w:fill="FFC267"/>
            <w:noWrap/>
            <w:vAlign w:val="bottom"/>
            <w:hideMark/>
          </w:tcPr>
          <w:p w14:paraId="3633F3FD" w14:textId="77777777" w:rsidR="00BD361D" w:rsidRPr="00BD361D" w:rsidRDefault="00BD361D" w:rsidP="00BD361D">
            <w:pPr>
              <w:spacing w:after="0" w:line="240" w:lineRule="auto"/>
              <w:jc w:val="center"/>
              <w:rPr>
                <w:rFonts w:ascii="Arial" w:eastAsia="Times New Roman" w:hAnsi="Arial" w:cs="Arial"/>
                <w:b/>
                <w:bCs/>
                <w:color w:val="833C0C"/>
                <w:sz w:val="20"/>
                <w:szCs w:val="20"/>
                <w:lang w:eastAsia="en-GB"/>
              </w:rPr>
            </w:pPr>
            <w:r w:rsidRPr="00BD361D">
              <w:rPr>
                <w:rFonts w:ascii="Arial" w:eastAsia="Times New Roman" w:hAnsi="Arial" w:cs="Arial"/>
                <w:b/>
                <w:bCs/>
                <w:color w:val="833C0C"/>
                <w:sz w:val="20"/>
                <w:szCs w:val="20"/>
                <w:lang w:eastAsia="en-GB"/>
              </w:rPr>
              <w:t>D</w:t>
            </w:r>
          </w:p>
        </w:tc>
        <w:tc>
          <w:tcPr>
            <w:tcW w:w="2240" w:type="dxa"/>
            <w:tcBorders>
              <w:top w:val="single" w:sz="4" w:space="0" w:color="EDEDED"/>
              <w:left w:val="nil"/>
              <w:bottom w:val="single" w:sz="4" w:space="0" w:color="EDEDED"/>
              <w:right w:val="nil"/>
            </w:tcBorders>
            <w:noWrap/>
            <w:vAlign w:val="bottom"/>
            <w:hideMark/>
          </w:tcPr>
          <w:p w14:paraId="0224123F" w14:textId="04777AE1"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34</w:t>
            </w:r>
          </w:p>
        </w:tc>
        <w:tc>
          <w:tcPr>
            <w:tcW w:w="2960" w:type="dxa"/>
            <w:tcBorders>
              <w:top w:val="single" w:sz="4" w:space="0" w:color="EDEDED"/>
              <w:left w:val="nil"/>
              <w:bottom w:val="single" w:sz="4" w:space="0" w:color="EDEDED"/>
              <w:right w:val="single" w:sz="12" w:space="0" w:color="auto"/>
            </w:tcBorders>
            <w:noWrap/>
            <w:vAlign w:val="bottom"/>
            <w:hideMark/>
          </w:tcPr>
          <w:p w14:paraId="3CDCAC7D" w14:textId="1D1EE85C" w:rsidR="00BD361D" w:rsidRPr="00E1520E" w:rsidRDefault="00BD361D"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1</w:t>
            </w:r>
            <w:r w:rsidR="003B52A0" w:rsidRPr="00E1520E">
              <w:rPr>
                <w:rFonts w:ascii="Arial" w:eastAsia="Times New Roman" w:hAnsi="Arial" w:cs="Arial"/>
                <w:sz w:val="20"/>
                <w:szCs w:val="20"/>
                <w:lang w:eastAsia="en-GB"/>
              </w:rPr>
              <w:t>0</w:t>
            </w:r>
            <w:r w:rsidRPr="00E1520E">
              <w:rPr>
                <w:rFonts w:ascii="Arial" w:eastAsia="Times New Roman" w:hAnsi="Arial" w:cs="Arial"/>
                <w:sz w:val="20"/>
                <w:szCs w:val="20"/>
                <w:lang w:eastAsia="en-GB"/>
              </w:rPr>
              <w:t>%</w:t>
            </w:r>
          </w:p>
        </w:tc>
      </w:tr>
      <w:tr w:rsidR="00BD361D" w:rsidRPr="00BD361D" w14:paraId="36B9BC95" w14:textId="77777777" w:rsidTr="00C6428D">
        <w:trPr>
          <w:trHeight w:val="255"/>
          <w:jc w:val="center"/>
        </w:trPr>
        <w:tc>
          <w:tcPr>
            <w:tcW w:w="3040" w:type="dxa"/>
            <w:tcBorders>
              <w:top w:val="single" w:sz="4" w:space="0" w:color="DBDBDB"/>
              <w:left w:val="single" w:sz="12" w:space="0" w:color="auto"/>
              <w:bottom w:val="single" w:sz="4" w:space="0" w:color="DBDBDB"/>
              <w:right w:val="single" w:sz="4" w:space="0" w:color="A5A5A5"/>
            </w:tcBorders>
            <w:shd w:val="clear" w:color="000000" w:fill="FE7966"/>
            <w:noWrap/>
            <w:vAlign w:val="bottom"/>
            <w:hideMark/>
          </w:tcPr>
          <w:p w14:paraId="2F56DCA2" w14:textId="77777777" w:rsidR="00BD361D" w:rsidRPr="00BD361D" w:rsidRDefault="00BD361D" w:rsidP="00BD361D">
            <w:pPr>
              <w:spacing w:after="0" w:line="240" w:lineRule="auto"/>
              <w:jc w:val="center"/>
              <w:rPr>
                <w:rFonts w:ascii="Arial" w:eastAsia="Times New Roman" w:hAnsi="Arial" w:cs="Arial"/>
                <w:b/>
                <w:bCs/>
                <w:color w:val="161616"/>
                <w:sz w:val="20"/>
                <w:szCs w:val="20"/>
                <w:lang w:eastAsia="en-GB"/>
              </w:rPr>
            </w:pPr>
            <w:r w:rsidRPr="00BD361D">
              <w:rPr>
                <w:rFonts w:ascii="Arial" w:eastAsia="Times New Roman" w:hAnsi="Arial" w:cs="Arial"/>
                <w:b/>
                <w:bCs/>
                <w:color w:val="161616"/>
                <w:sz w:val="20"/>
                <w:szCs w:val="20"/>
                <w:lang w:eastAsia="en-GB"/>
              </w:rPr>
              <w:t>E</w:t>
            </w:r>
          </w:p>
        </w:tc>
        <w:tc>
          <w:tcPr>
            <w:tcW w:w="2240" w:type="dxa"/>
            <w:tcBorders>
              <w:top w:val="single" w:sz="4" w:space="0" w:color="DBDBDB"/>
              <w:left w:val="nil"/>
              <w:bottom w:val="single" w:sz="4" w:space="0" w:color="DBDBDB"/>
              <w:right w:val="nil"/>
            </w:tcBorders>
            <w:noWrap/>
            <w:vAlign w:val="bottom"/>
            <w:hideMark/>
          </w:tcPr>
          <w:p w14:paraId="325AEEB8" w14:textId="7B937321"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27</w:t>
            </w:r>
          </w:p>
        </w:tc>
        <w:tc>
          <w:tcPr>
            <w:tcW w:w="2960" w:type="dxa"/>
            <w:tcBorders>
              <w:top w:val="single" w:sz="4" w:space="0" w:color="DBDBDB"/>
              <w:left w:val="nil"/>
              <w:bottom w:val="single" w:sz="4" w:space="0" w:color="DBDBDB"/>
              <w:right w:val="single" w:sz="12" w:space="0" w:color="auto"/>
            </w:tcBorders>
            <w:noWrap/>
            <w:vAlign w:val="bottom"/>
            <w:hideMark/>
          </w:tcPr>
          <w:p w14:paraId="6584E7B3" w14:textId="7A542668" w:rsidR="00BD361D" w:rsidRPr="00E1520E" w:rsidRDefault="003B52A0" w:rsidP="00BD361D">
            <w:pPr>
              <w:spacing w:after="0" w:line="240" w:lineRule="auto"/>
              <w:jc w:val="center"/>
              <w:rPr>
                <w:rFonts w:ascii="Arial" w:eastAsia="Times New Roman" w:hAnsi="Arial" w:cs="Arial"/>
                <w:sz w:val="20"/>
                <w:szCs w:val="20"/>
                <w:lang w:eastAsia="en-GB"/>
              </w:rPr>
            </w:pPr>
            <w:r w:rsidRPr="00E1520E">
              <w:rPr>
                <w:rFonts w:ascii="Arial" w:eastAsia="Times New Roman" w:hAnsi="Arial" w:cs="Arial"/>
                <w:sz w:val="20"/>
                <w:szCs w:val="20"/>
                <w:lang w:eastAsia="en-GB"/>
              </w:rPr>
              <w:t>8</w:t>
            </w:r>
            <w:r w:rsidR="00BD361D" w:rsidRPr="00E1520E">
              <w:rPr>
                <w:rFonts w:ascii="Arial" w:eastAsia="Times New Roman" w:hAnsi="Arial" w:cs="Arial"/>
                <w:sz w:val="20"/>
                <w:szCs w:val="20"/>
                <w:lang w:eastAsia="en-GB"/>
              </w:rPr>
              <w:t>%</w:t>
            </w:r>
          </w:p>
        </w:tc>
      </w:tr>
      <w:tr w:rsidR="00BD361D" w:rsidRPr="00BD361D" w14:paraId="648FD7BF" w14:textId="77777777" w:rsidTr="00C6428D">
        <w:trPr>
          <w:trHeight w:val="255"/>
          <w:jc w:val="center"/>
        </w:trPr>
        <w:tc>
          <w:tcPr>
            <w:tcW w:w="3040" w:type="dxa"/>
            <w:tcBorders>
              <w:top w:val="single" w:sz="8" w:space="0" w:color="A5A5A5"/>
              <w:left w:val="single" w:sz="12" w:space="0" w:color="auto"/>
              <w:bottom w:val="single" w:sz="12" w:space="0" w:color="auto"/>
              <w:right w:val="single" w:sz="4" w:space="0" w:color="A5A5A5"/>
            </w:tcBorders>
            <w:shd w:val="clear" w:color="FFFFCC" w:fill="FFFFFF"/>
            <w:noWrap/>
            <w:vAlign w:val="bottom"/>
            <w:hideMark/>
          </w:tcPr>
          <w:p w14:paraId="0E8471F4" w14:textId="77777777" w:rsidR="00BD361D" w:rsidRPr="00BD361D" w:rsidRDefault="00BD361D" w:rsidP="00BD361D">
            <w:pPr>
              <w:spacing w:after="0" w:line="240" w:lineRule="auto"/>
              <w:jc w:val="center"/>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Total</w:t>
            </w:r>
          </w:p>
        </w:tc>
        <w:tc>
          <w:tcPr>
            <w:tcW w:w="2240" w:type="dxa"/>
            <w:tcBorders>
              <w:top w:val="single" w:sz="8" w:space="0" w:color="A5A5A5"/>
              <w:left w:val="nil"/>
              <w:bottom w:val="single" w:sz="12" w:space="0" w:color="auto"/>
              <w:right w:val="nil"/>
            </w:tcBorders>
            <w:shd w:val="clear" w:color="FFFFCC" w:fill="FFFFFF"/>
            <w:noWrap/>
            <w:vAlign w:val="bottom"/>
            <w:hideMark/>
          </w:tcPr>
          <w:p w14:paraId="0A145E9B" w14:textId="3A5F3A73" w:rsidR="00BD361D" w:rsidRPr="00BD361D" w:rsidRDefault="00BD361D" w:rsidP="00BD361D">
            <w:pPr>
              <w:spacing w:after="0" w:line="240" w:lineRule="auto"/>
              <w:jc w:val="center"/>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34</w:t>
            </w:r>
            <w:r w:rsidR="003B52A0">
              <w:rPr>
                <w:rFonts w:ascii="Arial" w:eastAsia="Times New Roman" w:hAnsi="Arial" w:cs="Arial"/>
                <w:b/>
                <w:bCs/>
                <w:color w:val="000000"/>
                <w:sz w:val="20"/>
                <w:szCs w:val="20"/>
                <w:lang w:eastAsia="en-GB"/>
              </w:rPr>
              <w:t>6</w:t>
            </w:r>
          </w:p>
        </w:tc>
        <w:tc>
          <w:tcPr>
            <w:tcW w:w="2960" w:type="dxa"/>
            <w:tcBorders>
              <w:top w:val="single" w:sz="8" w:space="0" w:color="A5A5A5"/>
              <w:left w:val="nil"/>
              <w:bottom w:val="single" w:sz="12" w:space="0" w:color="auto"/>
              <w:right w:val="single" w:sz="12" w:space="0" w:color="auto"/>
            </w:tcBorders>
            <w:shd w:val="clear" w:color="FFFFCC" w:fill="FFFFFF"/>
            <w:noWrap/>
            <w:vAlign w:val="bottom"/>
            <w:hideMark/>
          </w:tcPr>
          <w:p w14:paraId="4A7E264B" w14:textId="77777777" w:rsidR="00BD361D" w:rsidRPr="00BD361D" w:rsidRDefault="00BD361D" w:rsidP="00027D8F">
            <w:pPr>
              <w:keepNext/>
              <w:spacing w:after="0" w:line="240" w:lineRule="auto"/>
              <w:jc w:val="center"/>
              <w:rPr>
                <w:rFonts w:ascii="Arial" w:eastAsia="Times New Roman" w:hAnsi="Arial" w:cs="Arial"/>
                <w:b/>
                <w:bCs/>
                <w:color w:val="000000"/>
                <w:sz w:val="20"/>
                <w:szCs w:val="20"/>
                <w:lang w:eastAsia="en-GB"/>
              </w:rPr>
            </w:pPr>
            <w:r w:rsidRPr="00BD361D">
              <w:rPr>
                <w:rFonts w:ascii="Arial" w:eastAsia="Times New Roman" w:hAnsi="Arial" w:cs="Arial"/>
                <w:b/>
                <w:bCs/>
                <w:color w:val="000000"/>
                <w:sz w:val="20"/>
                <w:szCs w:val="20"/>
                <w:lang w:eastAsia="en-GB"/>
              </w:rPr>
              <w:t>100%</w:t>
            </w:r>
          </w:p>
        </w:tc>
      </w:tr>
    </w:tbl>
    <w:p w14:paraId="7D54A5AE" w14:textId="6A309369" w:rsidR="00BD361D" w:rsidRDefault="00027D8F" w:rsidP="00B477A2">
      <w:pPr>
        <w:pStyle w:val="Caption"/>
      </w:pPr>
      <w:bookmarkStart w:id="83" w:name="_Toc525406996"/>
      <w:r>
        <w:t xml:space="preserve">Table </w:t>
      </w:r>
      <w:r w:rsidR="00427FDC">
        <w:rPr>
          <w:noProof/>
        </w:rPr>
        <w:fldChar w:fldCharType="begin"/>
      </w:r>
      <w:r w:rsidR="00427FDC">
        <w:rPr>
          <w:noProof/>
        </w:rPr>
        <w:instrText xml:space="preserve"> SEQ Table \* ARABIC </w:instrText>
      </w:r>
      <w:r w:rsidR="00427FDC">
        <w:rPr>
          <w:noProof/>
        </w:rPr>
        <w:fldChar w:fldCharType="separate"/>
      </w:r>
      <w:r w:rsidR="00247F48">
        <w:rPr>
          <w:noProof/>
        </w:rPr>
        <w:t>5</w:t>
      </w:r>
      <w:r w:rsidR="00427FDC">
        <w:rPr>
          <w:noProof/>
        </w:rPr>
        <w:fldChar w:fldCharType="end"/>
      </w:r>
      <w:r>
        <w:t xml:space="preserve"> – GB S167 grades</w:t>
      </w:r>
      <w:bookmarkEnd w:id="83"/>
    </w:p>
    <w:p w14:paraId="3365089C" w14:textId="081CF095" w:rsidR="00BD361D" w:rsidRDefault="003B52A0" w:rsidP="00085BF8">
      <w:r>
        <w:t xml:space="preserve">It is concerning that of the 52% of authorities that </w:t>
      </w:r>
      <w:r w:rsidR="00AD7172">
        <w:t>have not</w:t>
      </w:r>
      <w:r>
        <w:t xml:space="preserve"> implemented S167, 18% are either undecided on the matter or have no intent to implement it at all</w:t>
      </w:r>
      <w:r w:rsidR="00BD361D">
        <w:t>.</w:t>
      </w:r>
    </w:p>
    <w:p w14:paraId="06A84C52" w14:textId="2D7BDC57" w:rsidR="00027D8F" w:rsidRDefault="00AF117A" w:rsidP="00027D8F">
      <w:pPr>
        <w:keepNext/>
        <w:jc w:val="left"/>
      </w:pPr>
      <w:r>
        <w:rPr>
          <w:noProof/>
        </w:rPr>
        <w:drawing>
          <wp:inline distT="0" distB="0" distL="0" distR="0" wp14:anchorId="0B0AE5E6" wp14:editId="7E16BC79">
            <wp:extent cx="1638000" cy="2361600"/>
            <wp:effectExtent l="57150" t="57150" r="191135" b="191135"/>
            <wp:docPr id="26" name="Chart 26" descr="Pie chart: England S167 Grades May 2018. A 48% C 35% D 9% E 8%.">
              <a:extLst xmlns:a="http://schemas.openxmlformats.org/drawingml/2006/main">
                <a:ext uri="{FF2B5EF4-FFF2-40B4-BE49-F238E27FC236}">
                  <a16:creationId xmlns:a16="http://schemas.microsoft.com/office/drawing/2014/main" id="{BF458AA0-9C13-4F4D-AEB2-AB796F2DF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54D8C" w:rsidRPr="00654D8C">
        <w:rPr>
          <w:noProof/>
        </w:rPr>
        <w:t xml:space="preserve"> </w:t>
      </w:r>
      <w:r>
        <w:rPr>
          <w:noProof/>
        </w:rPr>
        <w:drawing>
          <wp:inline distT="0" distB="0" distL="0" distR="0" wp14:anchorId="7B6F08E1" wp14:editId="49496CF6">
            <wp:extent cx="1638000" cy="2372400"/>
            <wp:effectExtent l="57150" t="57150" r="191135" b="180340"/>
            <wp:docPr id="34" name="Chart 34" descr="Pie chart: Scotland S167 Grades May 2018. A 34% C 31% D 22% E 13%.">
              <a:extLst xmlns:a="http://schemas.openxmlformats.org/drawingml/2006/main">
                <a:ext uri="{FF2B5EF4-FFF2-40B4-BE49-F238E27FC236}">
                  <a16:creationId xmlns:a16="http://schemas.microsoft.com/office/drawing/2014/main" id="{0E6E8165-BFD4-4392-B62D-0D27532F6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654D8C" w:rsidRPr="00654D8C">
        <w:rPr>
          <w:noProof/>
        </w:rPr>
        <w:t xml:space="preserve"> </w:t>
      </w:r>
      <w:r>
        <w:rPr>
          <w:noProof/>
        </w:rPr>
        <w:drawing>
          <wp:inline distT="0" distB="0" distL="0" distR="0" wp14:anchorId="03C0BE11" wp14:editId="20E5EEB6">
            <wp:extent cx="1638000" cy="2372400"/>
            <wp:effectExtent l="57150" t="57150" r="191135" b="180340"/>
            <wp:docPr id="36" name="Chart 36" descr="Pie chart: Wales S167 Grades May 2018. A 77% C 23%.">
              <a:extLst xmlns:a="http://schemas.openxmlformats.org/drawingml/2006/main">
                <a:ext uri="{FF2B5EF4-FFF2-40B4-BE49-F238E27FC236}">
                  <a16:creationId xmlns:a16="http://schemas.microsoft.com/office/drawing/2014/main" id="{A86981A5-2159-4A39-84A5-6F97F5A89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pPr w:leftFromText="180" w:rightFromText="180" w:vertAnchor="text" w:horzAnchor="page" w:tblpX="1861" w:tblpY="323"/>
        <w:tblW w:w="8240" w:type="dxa"/>
        <w:tblCellMar>
          <w:top w:w="15" w:type="dxa"/>
          <w:bottom w:w="15" w:type="dxa"/>
        </w:tblCellMar>
        <w:tblLook w:val="04E0" w:firstRow="1" w:lastRow="1" w:firstColumn="1" w:lastColumn="0" w:noHBand="0" w:noVBand="1"/>
      </w:tblPr>
      <w:tblGrid>
        <w:gridCol w:w="806"/>
        <w:gridCol w:w="1239"/>
        <w:gridCol w:w="1239"/>
        <w:gridCol w:w="1239"/>
        <w:gridCol w:w="1239"/>
        <w:gridCol w:w="1239"/>
        <w:gridCol w:w="1239"/>
      </w:tblGrid>
      <w:tr w:rsidR="00027D8F" w:rsidRPr="00EA0795" w14:paraId="76C60336" w14:textId="77777777" w:rsidTr="00C6428D">
        <w:trPr>
          <w:trHeight w:val="525"/>
        </w:trPr>
        <w:tc>
          <w:tcPr>
            <w:tcW w:w="806" w:type="dxa"/>
            <w:tcBorders>
              <w:top w:val="single" w:sz="12" w:space="0" w:color="auto"/>
              <w:left w:val="single" w:sz="12" w:space="0" w:color="auto"/>
              <w:bottom w:val="single" w:sz="8" w:space="0" w:color="A5A5A5"/>
              <w:right w:val="single" w:sz="4" w:space="0" w:color="A5A5A5"/>
            </w:tcBorders>
            <w:shd w:val="clear" w:color="FFFFCC" w:fill="FFFFFF"/>
            <w:vAlign w:val="center"/>
            <w:hideMark/>
          </w:tcPr>
          <w:p w14:paraId="1108D04F"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 xml:space="preserve">S167 </w:t>
            </w:r>
            <w:r>
              <w:rPr>
                <w:rFonts w:ascii="Arial" w:eastAsia="Times New Roman" w:hAnsi="Arial" w:cs="Arial"/>
                <w:b/>
                <w:bCs/>
                <w:color w:val="000000"/>
                <w:sz w:val="20"/>
                <w:szCs w:val="20"/>
                <w:lang w:eastAsia="en-GB"/>
              </w:rPr>
              <w:t>grade</w:t>
            </w:r>
          </w:p>
        </w:tc>
        <w:tc>
          <w:tcPr>
            <w:tcW w:w="1239" w:type="dxa"/>
            <w:tcBorders>
              <w:top w:val="single" w:sz="12" w:space="0" w:color="auto"/>
              <w:left w:val="nil"/>
              <w:bottom w:val="single" w:sz="8" w:space="0" w:color="A5A5A5"/>
              <w:right w:val="nil"/>
            </w:tcBorders>
            <w:shd w:val="clear" w:color="FFFFCC" w:fill="FFFFFF"/>
            <w:vAlign w:val="center"/>
            <w:hideMark/>
          </w:tcPr>
          <w:p w14:paraId="1A2C280A"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English authorities</w:t>
            </w:r>
          </w:p>
        </w:tc>
        <w:tc>
          <w:tcPr>
            <w:tcW w:w="1239" w:type="dxa"/>
            <w:tcBorders>
              <w:top w:val="single" w:sz="12" w:space="0" w:color="auto"/>
              <w:left w:val="nil"/>
              <w:bottom w:val="single" w:sz="8" w:space="0" w:color="A5A5A5"/>
              <w:right w:val="single" w:sz="8" w:space="0" w:color="A5A5A5"/>
            </w:tcBorders>
            <w:shd w:val="clear" w:color="FFFFCC" w:fill="FFFFFF"/>
            <w:vAlign w:val="center"/>
            <w:hideMark/>
          </w:tcPr>
          <w:p w14:paraId="2B08CA19"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 English authorities</w:t>
            </w:r>
          </w:p>
        </w:tc>
        <w:tc>
          <w:tcPr>
            <w:tcW w:w="1239" w:type="dxa"/>
            <w:tcBorders>
              <w:top w:val="single" w:sz="12" w:space="0" w:color="auto"/>
              <w:left w:val="nil"/>
              <w:bottom w:val="single" w:sz="8" w:space="0" w:color="A5A5A5"/>
              <w:right w:val="nil"/>
            </w:tcBorders>
            <w:shd w:val="clear" w:color="FFFFCC" w:fill="FFFFFF"/>
            <w:vAlign w:val="center"/>
            <w:hideMark/>
          </w:tcPr>
          <w:p w14:paraId="0B3DD8FB"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Scottish authorities</w:t>
            </w:r>
          </w:p>
        </w:tc>
        <w:tc>
          <w:tcPr>
            <w:tcW w:w="1239" w:type="dxa"/>
            <w:tcBorders>
              <w:top w:val="single" w:sz="12" w:space="0" w:color="auto"/>
              <w:left w:val="nil"/>
              <w:bottom w:val="single" w:sz="8" w:space="0" w:color="A5A5A5"/>
              <w:right w:val="single" w:sz="8" w:space="0" w:color="A5A5A5"/>
            </w:tcBorders>
            <w:shd w:val="clear" w:color="FFFFCC" w:fill="FFFFFF"/>
            <w:vAlign w:val="center"/>
            <w:hideMark/>
          </w:tcPr>
          <w:p w14:paraId="5EB9DBFD"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 Scottish authorities</w:t>
            </w:r>
          </w:p>
        </w:tc>
        <w:tc>
          <w:tcPr>
            <w:tcW w:w="1239" w:type="dxa"/>
            <w:tcBorders>
              <w:top w:val="single" w:sz="12" w:space="0" w:color="auto"/>
              <w:left w:val="nil"/>
              <w:bottom w:val="single" w:sz="8" w:space="0" w:color="A5A5A5"/>
              <w:right w:val="nil"/>
            </w:tcBorders>
            <w:shd w:val="clear" w:color="FFFFCC" w:fill="FFFFFF"/>
            <w:vAlign w:val="center"/>
            <w:hideMark/>
          </w:tcPr>
          <w:p w14:paraId="1B396BB4"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Welsh authorities</w:t>
            </w:r>
          </w:p>
        </w:tc>
        <w:tc>
          <w:tcPr>
            <w:tcW w:w="1239" w:type="dxa"/>
            <w:tcBorders>
              <w:top w:val="single" w:sz="12" w:space="0" w:color="auto"/>
              <w:left w:val="nil"/>
              <w:bottom w:val="single" w:sz="8" w:space="0" w:color="A5A5A5"/>
              <w:right w:val="single" w:sz="12" w:space="0" w:color="auto"/>
            </w:tcBorders>
            <w:shd w:val="clear" w:color="FFFFCC" w:fill="FFFFFF"/>
            <w:vAlign w:val="center"/>
            <w:hideMark/>
          </w:tcPr>
          <w:p w14:paraId="04E5965C"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 Welsh authorities</w:t>
            </w:r>
          </w:p>
        </w:tc>
      </w:tr>
      <w:tr w:rsidR="00027D8F" w:rsidRPr="00EA0795" w14:paraId="281ED692" w14:textId="77777777" w:rsidTr="00C6428D">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B0CC66"/>
            <w:vAlign w:val="center"/>
            <w:hideMark/>
          </w:tcPr>
          <w:p w14:paraId="25762CE0" w14:textId="77777777" w:rsidR="00027D8F" w:rsidRPr="00EA0795" w:rsidRDefault="00027D8F" w:rsidP="00027D8F">
            <w:pPr>
              <w:spacing w:after="0" w:line="240" w:lineRule="auto"/>
              <w:jc w:val="center"/>
              <w:rPr>
                <w:rFonts w:ascii="Arial" w:eastAsia="Times New Roman" w:hAnsi="Arial" w:cs="Arial"/>
                <w:b/>
                <w:bCs/>
                <w:color w:val="375623"/>
                <w:sz w:val="20"/>
                <w:szCs w:val="20"/>
                <w:lang w:eastAsia="en-GB"/>
              </w:rPr>
            </w:pPr>
            <w:r w:rsidRPr="00EA0795">
              <w:rPr>
                <w:rFonts w:ascii="Arial" w:eastAsia="Times New Roman" w:hAnsi="Arial" w:cs="Arial"/>
                <w:b/>
                <w:bCs/>
                <w:color w:val="375623"/>
                <w:sz w:val="20"/>
                <w:szCs w:val="20"/>
                <w:lang w:eastAsia="en-GB"/>
              </w:rPr>
              <w:t>A</w:t>
            </w:r>
          </w:p>
        </w:tc>
        <w:tc>
          <w:tcPr>
            <w:tcW w:w="1239" w:type="dxa"/>
            <w:tcBorders>
              <w:top w:val="single" w:sz="4" w:space="0" w:color="EDEDED"/>
              <w:left w:val="nil"/>
              <w:bottom w:val="single" w:sz="4" w:space="0" w:color="EDEDED"/>
              <w:right w:val="nil"/>
            </w:tcBorders>
            <w:shd w:val="clear" w:color="FFFFCC" w:fill="FFFFFF"/>
            <w:vAlign w:val="center"/>
            <w:hideMark/>
          </w:tcPr>
          <w:p w14:paraId="41A44366" w14:textId="031C6CAE"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139</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55BA7878" w14:textId="52C7AB7E"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48</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6DAC7A51" w14:textId="042A44B5" w:rsidR="00027D8F" w:rsidRPr="00E1520E" w:rsidRDefault="00027D8F"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1</w:t>
            </w:r>
            <w:r w:rsidR="00AF117A" w:rsidRPr="00E1520E">
              <w:rPr>
                <w:rFonts w:ascii="Arial" w:eastAsia="Times New Roman" w:hAnsi="Arial" w:cs="Arial"/>
                <w:bCs/>
                <w:sz w:val="20"/>
                <w:szCs w:val="20"/>
                <w:lang w:eastAsia="en-GB"/>
              </w:rPr>
              <w:t>1</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0CDD76C1" w14:textId="649A7CF6" w:rsidR="00027D8F" w:rsidRPr="00E1520E" w:rsidRDefault="00027D8F"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3</w:t>
            </w:r>
            <w:r w:rsidR="00AF117A" w:rsidRPr="00E1520E">
              <w:rPr>
                <w:rFonts w:ascii="Arial" w:eastAsia="Times New Roman" w:hAnsi="Arial" w:cs="Arial"/>
                <w:bCs/>
                <w:sz w:val="20"/>
                <w:szCs w:val="20"/>
                <w:lang w:eastAsia="en-GB"/>
              </w:rPr>
              <w:t>4</w:t>
            </w:r>
            <w:r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2721915F" w14:textId="259DFFB6"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17</w:t>
            </w:r>
          </w:p>
        </w:tc>
        <w:tc>
          <w:tcPr>
            <w:tcW w:w="1239" w:type="dxa"/>
            <w:tcBorders>
              <w:top w:val="single" w:sz="4" w:space="0" w:color="EDEDED"/>
              <w:left w:val="nil"/>
              <w:bottom w:val="single" w:sz="4" w:space="0" w:color="EDEDED"/>
              <w:right w:val="single" w:sz="12" w:space="0" w:color="auto"/>
            </w:tcBorders>
            <w:shd w:val="clear" w:color="FFFFCC" w:fill="FFFFFF"/>
            <w:vAlign w:val="center"/>
            <w:hideMark/>
          </w:tcPr>
          <w:p w14:paraId="4DD2B962" w14:textId="0904ED3C" w:rsidR="00027D8F" w:rsidRPr="00E1520E" w:rsidRDefault="00AF117A" w:rsidP="00AF117A">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77</w:t>
            </w:r>
            <w:r w:rsidR="00027D8F" w:rsidRPr="00E1520E">
              <w:rPr>
                <w:rFonts w:ascii="Arial" w:eastAsia="Times New Roman" w:hAnsi="Arial" w:cs="Arial"/>
                <w:bCs/>
                <w:sz w:val="20"/>
                <w:szCs w:val="20"/>
                <w:lang w:eastAsia="en-GB"/>
              </w:rPr>
              <w:t>%</w:t>
            </w:r>
          </w:p>
        </w:tc>
      </w:tr>
      <w:tr w:rsidR="00027D8F" w:rsidRPr="00EA0795" w14:paraId="3E7F77F0" w14:textId="77777777" w:rsidTr="00C6428D">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FFFF66"/>
            <w:vAlign w:val="center"/>
            <w:hideMark/>
          </w:tcPr>
          <w:p w14:paraId="4D469AEF" w14:textId="77777777" w:rsidR="00027D8F" w:rsidRPr="00EA0795" w:rsidRDefault="00027D8F" w:rsidP="00027D8F">
            <w:pPr>
              <w:spacing w:after="0" w:line="240" w:lineRule="auto"/>
              <w:jc w:val="center"/>
              <w:rPr>
                <w:rFonts w:ascii="Arial" w:eastAsia="Times New Roman" w:hAnsi="Arial" w:cs="Arial"/>
                <w:b/>
                <w:bCs/>
                <w:color w:val="806000"/>
                <w:sz w:val="20"/>
                <w:szCs w:val="20"/>
                <w:lang w:eastAsia="en-GB"/>
              </w:rPr>
            </w:pPr>
            <w:r w:rsidRPr="00EA0795">
              <w:rPr>
                <w:rFonts w:ascii="Arial" w:eastAsia="Times New Roman" w:hAnsi="Arial" w:cs="Arial"/>
                <w:b/>
                <w:bCs/>
                <w:color w:val="806000"/>
                <w:sz w:val="20"/>
                <w:szCs w:val="20"/>
                <w:lang w:eastAsia="en-GB"/>
              </w:rPr>
              <w:t>C</w:t>
            </w:r>
          </w:p>
        </w:tc>
        <w:tc>
          <w:tcPr>
            <w:tcW w:w="1239" w:type="dxa"/>
            <w:tcBorders>
              <w:top w:val="single" w:sz="4" w:space="0" w:color="EDEDED"/>
              <w:left w:val="nil"/>
              <w:bottom w:val="single" w:sz="4" w:space="0" w:color="EDEDED"/>
              <w:right w:val="nil"/>
            </w:tcBorders>
            <w:shd w:val="clear" w:color="FFFFCC" w:fill="FFFFFF"/>
            <w:vAlign w:val="center"/>
            <w:hideMark/>
          </w:tcPr>
          <w:p w14:paraId="28B29E2A" w14:textId="05F53074"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103</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676A74D7" w14:textId="6F118C92"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35</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7A115629" w14:textId="7CA20BF8"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10</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06235EFB" w14:textId="210A89BF"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31</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15FF6EDF" w14:textId="36BC3E17"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5</w:t>
            </w:r>
          </w:p>
        </w:tc>
        <w:tc>
          <w:tcPr>
            <w:tcW w:w="1239" w:type="dxa"/>
            <w:tcBorders>
              <w:top w:val="single" w:sz="4" w:space="0" w:color="EDEDED"/>
              <w:left w:val="nil"/>
              <w:bottom w:val="single" w:sz="4" w:space="0" w:color="EDEDED"/>
              <w:right w:val="single" w:sz="12" w:space="0" w:color="auto"/>
            </w:tcBorders>
            <w:shd w:val="clear" w:color="FFFFCC" w:fill="FFFFFF"/>
            <w:vAlign w:val="center"/>
            <w:hideMark/>
          </w:tcPr>
          <w:p w14:paraId="034D1085" w14:textId="11FCECC7" w:rsidR="00027D8F" w:rsidRPr="00E1520E" w:rsidRDefault="00027D8F"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2</w:t>
            </w:r>
            <w:r w:rsidR="00AF117A" w:rsidRPr="00E1520E">
              <w:rPr>
                <w:rFonts w:ascii="Arial" w:eastAsia="Times New Roman" w:hAnsi="Arial" w:cs="Arial"/>
                <w:bCs/>
                <w:sz w:val="20"/>
                <w:szCs w:val="20"/>
                <w:lang w:eastAsia="en-GB"/>
              </w:rPr>
              <w:t>3</w:t>
            </w:r>
            <w:r w:rsidRPr="00E1520E">
              <w:rPr>
                <w:rFonts w:ascii="Arial" w:eastAsia="Times New Roman" w:hAnsi="Arial" w:cs="Arial"/>
                <w:bCs/>
                <w:sz w:val="20"/>
                <w:szCs w:val="20"/>
                <w:lang w:eastAsia="en-GB"/>
              </w:rPr>
              <w:t>%</w:t>
            </w:r>
          </w:p>
        </w:tc>
      </w:tr>
      <w:tr w:rsidR="00027D8F" w:rsidRPr="00EA0795" w14:paraId="3EB211D3" w14:textId="77777777" w:rsidTr="00C6428D">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FFC267"/>
            <w:vAlign w:val="center"/>
            <w:hideMark/>
          </w:tcPr>
          <w:p w14:paraId="3B28FFD1" w14:textId="77777777" w:rsidR="00027D8F" w:rsidRPr="00EA0795" w:rsidRDefault="00027D8F" w:rsidP="00027D8F">
            <w:pPr>
              <w:spacing w:after="0" w:line="240" w:lineRule="auto"/>
              <w:jc w:val="center"/>
              <w:rPr>
                <w:rFonts w:ascii="Arial" w:eastAsia="Times New Roman" w:hAnsi="Arial" w:cs="Arial"/>
                <w:b/>
                <w:bCs/>
                <w:color w:val="833C0C"/>
                <w:sz w:val="20"/>
                <w:szCs w:val="20"/>
                <w:lang w:eastAsia="en-GB"/>
              </w:rPr>
            </w:pPr>
            <w:r w:rsidRPr="00EA0795">
              <w:rPr>
                <w:rFonts w:ascii="Arial" w:eastAsia="Times New Roman" w:hAnsi="Arial" w:cs="Arial"/>
                <w:b/>
                <w:bCs/>
                <w:color w:val="833C0C"/>
                <w:sz w:val="20"/>
                <w:szCs w:val="20"/>
                <w:lang w:eastAsia="en-GB"/>
              </w:rPr>
              <w:t>D</w:t>
            </w:r>
          </w:p>
        </w:tc>
        <w:tc>
          <w:tcPr>
            <w:tcW w:w="1239" w:type="dxa"/>
            <w:tcBorders>
              <w:top w:val="single" w:sz="4" w:space="0" w:color="EDEDED"/>
              <w:left w:val="nil"/>
              <w:bottom w:val="single" w:sz="4" w:space="0" w:color="EDEDED"/>
              <w:right w:val="nil"/>
            </w:tcBorders>
            <w:shd w:val="clear" w:color="FFFFCC" w:fill="FFFFFF"/>
            <w:vAlign w:val="center"/>
            <w:hideMark/>
          </w:tcPr>
          <w:p w14:paraId="2EEAC64D" w14:textId="58A24C3A"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27</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7FC6357C" w14:textId="44C46816"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9</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71FEDB1E" w14:textId="160AFBA1"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7</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5928FE84" w14:textId="68EB9DF1"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22</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14B8E818" w14:textId="37FAEAED"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0</w:t>
            </w:r>
          </w:p>
        </w:tc>
        <w:tc>
          <w:tcPr>
            <w:tcW w:w="1239" w:type="dxa"/>
            <w:tcBorders>
              <w:top w:val="single" w:sz="4" w:space="0" w:color="EDEDED"/>
              <w:left w:val="nil"/>
              <w:bottom w:val="single" w:sz="4" w:space="0" w:color="EDEDED"/>
              <w:right w:val="single" w:sz="12" w:space="0" w:color="auto"/>
            </w:tcBorders>
            <w:shd w:val="clear" w:color="FFFFCC" w:fill="FFFFFF"/>
            <w:vAlign w:val="center"/>
            <w:hideMark/>
          </w:tcPr>
          <w:p w14:paraId="14ACA7E7" w14:textId="26B0D619"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0</w:t>
            </w:r>
            <w:r w:rsidR="00027D8F" w:rsidRPr="00E1520E">
              <w:rPr>
                <w:rFonts w:ascii="Arial" w:eastAsia="Times New Roman" w:hAnsi="Arial" w:cs="Arial"/>
                <w:bCs/>
                <w:sz w:val="20"/>
                <w:szCs w:val="20"/>
                <w:lang w:eastAsia="en-GB"/>
              </w:rPr>
              <w:t>%</w:t>
            </w:r>
          </w:p>
        </w:tc>
      </w:tr>
      <w:tr w:rsidR="00027D8F" w:rsidRPr="00EA0795" w14:paraId="481720DC" w14:textId="77777777" w:rsidTr="00C6428D">
        <w:trPr>
          <w:trHeight w:val="270"/>
        </w:trPr>
        <w:tc>
          <w:tcPr>
            <w:tcW w:w="806" w:type="dxa"/>
            <w:tcBorders>
              <w:top w:val="single" w:sz="4" w:space="0" w:color="EDEDED"/>
              <w:left w:val="single" w:sz="12" w:space="0" w:color="auto"/>
              <w:bottom w:val="single" w:sz="4" w:space="0" w:color="EDEDED"/>
              <w:right w:val="single" w:sz="4" w:space="0" w:color="A5A5A5"/>
            </w:tcBorders>
            <w:shd w:val="clear" w:color="FFFFCC" w:fill="FE7966"/>
            <w:vAlign w:val="center"/>
            <w:hideMark/>
          </w:tcPr>
          <w:p w14:paraId="50629B60" w14:textId="77777777" w:rsidR="00027D8F" w:rsidRPr="00EA0795" w:rsidRDefault="00027D8F" w:rsidP="00027D8F">
            <w:pPr>
              <w:spacing w:after="0" w:line="240" w:lineRule="auto"/>
              <w:jc w:val="center"/>
              <w:rPr>
                <w:rFonts w:ascii="Arial" w:eastAsia="Times New Roman" w:hAnsi="Arial" w:cs="Arial"/>
                <w:b/>
                <w:bCs/>
                <w:color w:val="161616"/>
                <w:sz w:val="20"/>
                <w:szCs w:val="20"/>
                <w:lang w:eastAsia="en-GB"/>
              </w:rPr>
            </w:pPr>
            <w:r w:rsidRPr="00EA0795">
              <w:rPr>
                <w:rFonts w:ascii="Arial" w:eastAsia="Times New Roman" w:hAnsi="Arial" w:cs="Arial"/>
                <w:b/>
                <w:bCs/>
                <w:color w:val="161616"/>
                <w:sz w:val="20"/>
                <w:szCs w:val="20"/>
                <w:lang w:eastAsia="en-GB"/>
              </w:rPr>
              <w:t>E</w:t>
            </w:r>
          </w:p>
        </w:tc>
        <w:tc>
          <w:tcPr>
            <w:tcW w:w="1239" w:type="dxa"/>
            <w:tcBorders>
              <w:top w:val="single" w:sz="4" w:space="0" w:color="EDEDED"/>
              <w:left w:val="nil"/>
              <w:bottom w:val="single" w:sz="4" w:space="0" w:color="EDEDED"/>
              <w:right w:val="nil"/>
            </w:tcBorders>
            <w:shd w:val="clear" w:color="FFFFCC" w:fill="FFFFFF"/>
            <w:vAlign w:val="center"/>
            <w:hideMark/>
          </w:tcPr>
          <w:p w14:paraId="71EF95E7" w14:textId="1302FCB6"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23</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0F56AB91" w14:textId="390EB45E"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8</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0B009BD7" w14:textId="3CA9B21F"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4</w:t>
            </w:r>
          </w:p>
        </w:tc>
        <w:tc>
          <w:tcPr>
            <w:tcW w:w="1239" w:type="dxa"/>
            <w:tcBorders>
              <w:top w:val="single" w:sz="4" w:space="0" w:color="EDEDED"/>
              <w:left w:val="nil"/>
              <w:bottom w:val="single" w:sz="4" w:space="0" w:color="EDEDED"/>
              <w:right w:val="single" w:sz="8" w:space="0" w:color="A5A5A5"/>
            </w:tcBorders>
            <w:shd w:val="clear" w:color="FFFFCC" w:fill="FFFFFF"/>
            <w:vAlign w:val="center"/>
            <w:hideMark/>
          </w:tcPr>
          <w:p w14:paraId="3167497E" w14:textId="39DBC344"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13</w:t>
            </w:r>
            <w:r w:rsidR="00027D8F" w:rsidRPr="00E1520E">
              <w:rPr>
                <w:rFonts w:ascii="Arial" w:eastAsia="Times New Roman" w:hAnsi="Arial" w:cs="Arial"/>
                <w:bCs/>
                <w:sz w:val="20"/>
                <w:szCs w:val="20"/>
                <w:lang w:eastAsia="en-GB"/>
              </w:rPr>
              <w:t>%</w:t>
            </w:r>
          </w:p>
        </w:tc>
        <w:tc>
          <w:tcPr>
            <w:tcW w:w="1239" w:type="dxa"/>
            <w:tcBorders>
              <w:top w:val="single" w:sz="4" w:space="0" w:color="EDEDED"/>
              <w:left w:val="nil"/>
              <w:bottom w:val="single" w:sz="4" w:space="0" w:color="EDEDED"/>
              <w:right w:val="nil"/>
            </w:tcBorders>
            <w:shd w:val="clear" w:color="FFFFCC" w:fill="FFFFFF"/>
            <w:vAlign w:val="center"/>
            <w:hideMark/>
          </w:tcPr>
          <w:p w14:paraId="627B3E10" w14:textId="7F6F6F79"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0</w:t>
            </w:r>
          </w:p>
        </w:tc>
        <w:tc>
          <w:tcPr>
            <w:tcW w:w="1239" w:type="dxa"/>
            <w:tcBorders>
              <w:top w:val="single" w:sz="4" w:space="0" w:color="EDEDED"/>
              <w:left w:val="nil"/>
              <w:bottom w:val="single" w:sz="4" w:space="0" w:color="EDEDED"/>
              <w:right w:val="single" w:sz="12" w:space="0" w:color="auto"/>
            </w:tcBorders>
            <w:shd w:val="clear" w:color="FFFFCC" w:fill="FFFFFF"/>
            <w:vAlign w:val="center"/>
            <w:hideMark/>
          </w:tcPr>
          <w:p w14:paraId="2D08DD1B" w14:textId="52BBA369" w:rsidR="00027D8F" w:rsidRPr="00E1520E" w:rsidRDefault="00AF117A" w:rsidP="00027D8F">
            <w:pPr>
              <w:spacing w:after="0" w:line="240" w:lineRule="auto"/>
              <w:jc w:val="center"/>
              <w:rPr>
                <w:rFonts w:ascii="Arial" w:eastAsia="Times New Roman" w:hAnsi="Arial" w:cs="Arial"/>
                <w:bCs/>
                <w:sz w:val="20"/>
                <w:szCs w:val="20"/>
                <w:lang w:eastAsia="en-GB"/>
              </w:rPr>
            </w:pPr>
            <w:r w:rsidRPr="00E1520E">
              <w:rPr>
                <w:rFonts w:ascii="Arial" w:eastAsia="Times New Roman" w:hAnsi="Arial" w:cs="Arial"/>
                <w:bCs/>
                <w:sz w:val="20"/>
                <w:szCs w:val="20"/>
                <w:lang w:eastAsia="en-GB"/>
              </w:rPr>
              <w:t>0</w:t>
            </w:r>
            <w:r w:rsidR="00027D8F" w:rsidRPr="00E1520E">
              <w:rPr>
                <w:rFonts w:ascii="Arial" w:eastAsia="Times New Roman" w:hAnsi="Arial" w:cs="Arial"/>
                <w:bCs/>
                <w:sz w:val="20"/>
                <w:szCs w:val="20"/>
                <w:lang w:eastAsia="en-GB"/>
              </w:rPr>
              <w:t>%</w:t>
            </w:r>
          </w:p>
        </w:tc>
      </w:tr>
      <w:tr w:rsidR="00027D8F" w:rsidRPr="00EA0795" w14:paraId="22EEDFE5" w14:textId="77777777" w:rsidTr="00C6428D">
        <w:trPr>
          <w:trHeight w:val="161"/>
        </w:trPr>
        <w:tc>
          <w:tcPr>
            <w:tcW w:w="806" w:type="dxa"/>
            <w:tcBorders>
              <w:top w:val="single" w:sz="8" w:space="0" w:color="A5A5A5"/>
              <w:left w:val="single" w:sz="12" w:space="0" w:color="auto"/>
              <w:bottom w:val="single" w:sz="12" w:space="0" w:color="auto"/>
              <w:right w:val="single" w:sz="4" w:space="0" w:color="A5A5A5"/>
            </w:tcBorders>
            <w:shd w:val="clear" w:color="FFFFCC" w:fill="FFFFFF"/>
            <w:vAlign w:val="center"/>
            <w:hideMark/>
          </w:tcPr>
          <w:p w14:paraId="3A547FC6"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Total</w:t>
            </w:r>
          </w:p>
        </w:tc>
        <w:tc>
          <w:tcPr>
            <w:tcW w:w="1239" w:type="dxa"/>
            <w:tcBorders>
              <w:top w:val="single" w:sz="8" w:space="0" w:color="A5A5A5"/>
              <w:left w:val="nil"/>
              <w:bottom w:val="single" w:sz="12" w:space="0" w:color="auto"/>
              <w:right w:val="nil"/>
            </w:tcBorders>
            <w:shd w:val="clear" w:color="FFFFCC" w:fill="FFFFFF"/>
            <w:vAlign w:val="center"/>
            <w:hideMark/>
          </w:tcPr>
          <w:p w14:paraId="56B69F54" w14:textId="0BF795EC"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29</w:t>
            </w:r>
            <w:r w:rsidR="00AF117A">
              <w:rPr>
                <w:rFonts w:ascii="Arial" w:eastAsia="Times New Roman" w:hAnsi="Arial" w:cs="Arial"/>
                <w:b/>
                <w:bCs/>
                <w:color w:val="000000"/>
                <w:sz w:val="20"/>
                <w:szCs w:val="20"/>
                <w:lang w:eastAsia="en-GB"/>
              </w:rPr>
              <w:t>2</w:t>
            </w:r>
          </w:p>
        </w:tc>
        <w:tc>
          <w:tcPr>
            <w:tcW w:w="1239" w:type="dxa"/>
            <w:tcBorders>
              <w:top w:val="single" w:sz="8" w:space="0" w:color="A5A5A5"/>
              <w:left w:val="nil"/>
              <w:bottom w:val="single" w:sz="12" w:space="0" w:color="auto"/>
              <w:right w:val="single" w:sz="8" w:space="0" w:color="A5A5A5"/>
            </w:tcBorders>
            <w:shd w:val="clear" w:color="FFFFCC" w:fill="FFFFFF"/>
            <w:vAlign w:val="center"/>
            <w:hideMark/>
          </w:tcPr>
          <w:p w14:paraId="370B2F89"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100%</w:t>
            </w:r>
          </w:p>
        </w:tc>
        <w:tc>
          <w:tcPr>
            <w:tcW w:w="1239" w:type="dxa"/>
            <w:tcBorders>
              <w:top w:val="single" w:sz="8" w:space="0" w:color="A5A5A5"/>
              <w:left w:val="nil"/>
              <w:bottom w:val="single" w:sz="12" w:space="0" w:color="auto"/>
              <w:right w:val="nil"/>
            </w:tcBorders>
            <w:shd w:val="clear" w:color="FFFFCC" w:fill="FFFFFF"/>
            <w:vAlign w:val="center"/>
            <w:hideMark/>
          </w:tcPr>
          <w:p w14:paraId="432B6254"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32</w:t>
            </w:r>
          </w:p>
        </w:tc>
        <w:tc>
          <w:tcPr>
            <w:tcW w:w="1239" w:type="dxa"/>
            <w:tcBorders>
              <w:top w:val="single" w:sz="8" w:space="0" w:color="A5A5A5"/>
              <w:left w:val="nil"/>
              <w:bottom w:val="single" w:sz="12" w:space="0" w:color="auto"/>
              <w:right w:val="single" w:sz="8" w:space="0" w:color="A5A5A5"/>
            </w:tcBorders>
            <w:shd w:val="clear" w:color="FFFFCC" w:fill="FFFFFF"/>
            <w:vAlign w:val="center"/>
            <w:hideMark/>
          </w:tcPr>
          <w:p w14:paraId="7267F5E5"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100%</w:t>
            </w:r>
          </w:p>
        </w:tc>
        <w:tc>
          <w:tcPr>
            <w:tcW w:w="1239" w:type="dxa"/>
            <w:tcBorders>
              <w:top w:val="single" w:sz="8" w:space="0" w:color="A5A5A5"/>
              <w:left w:val="nil"/>
              <w:bottom w:val="single" w:sz="12" w:space="0" w:color="auto"/>
              <w:right w:val="nil"/>
            </w:tcBorders>
            <w:shd w:val="clear" w:color="FFFFCC" w:fill="FFFFFF"/>
            <w:vAlign w:val="center"/>
            <w:hideMark/>
          </w:tcPr>
          <w:p w14:paraId="19515A0A" w14:textId="77777777" w:rsidR="00027D8F" w:rsidRPr="00EA0795" w:rsidRDefault="00027D8F" w:rsidP="00027D8F">
            <w:pPr>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22</w:t>
            </w:r>
          </w:p>
        </w:tc>
        <w:tc>
          <w:tcPr>
            <w:tcW w:w="1239" w:type="dxa"/>
            <w:tcBorders>
              <w:top w:val="single" w:sz="8" w:space="0" w:color="A5A5A5"/>
              <w:left w:val="nil"/>
              <w:bottom w:val="single" w:sz="12" w:space="0" w:color="auto"/>
              <w:right w:val="single" w:sz="12" w:space="0" w:color="auto"/>
            </w:tcBorders>
            <w:shd w:val="clear" w:color="FFFFCC" w:fill="FFFFFF"/>
            <w:vAlign w:val="center"/>
            <w:hideMark/>
          </w:tcPr>
          <w:p w14:paraId="60F7F13F" w14:textId="77777777" w:rsidR="00027D8F" w:rsidRPr="00EA0795" w:rsidRDefault="00027D8F" w:rsidP="00027D8F">
            <w:pPr>
              <w:keepNext/>
              <w:spacing w:after="0" w:line="240" w:lineRule="auto"/>
              <w:jc w:val="center"/>
              <w:rPr>
                <w:rFonts w:ascii="Arial" w:eastAsia="Times New Roman" w:hAnsi="Arial" w:cs="Arial"/>
                <w:b/>
                <w:bCs/>
                <w:color w:val="000000"/>
                <w:sz w:val="20"/>
                <w:szCs w:val="20"/>
                <w:lang w:eastAsia="en-GB"/>
              </w:rPr>
            </w:pPr>
            <w:r w:rsidRPr="00EA0795">
              <w:rPr>
                <w:rFonts w:ascii="Arial" w:eastAsia="Times New Roman" w:hAnsi="Arial" w:cs="Arial"/>
                <w:b/>
                <w:bCs/>
                <w:color w:val="000000"/>
                <w:sz w:val="20"/>
                <w:szCs w:val="20"/>
                <w:lang w:eastAsia="en-GB"/>
              </w:rPr>
              <w:t>100%</w:t>
            </w:r>
          </w:p>
        </w:tc>
      </w:tr>
    </w:tbl>
    <w:p w14:paraId="0BF9214D" w14:textId="1FDD4EA2" w:rsidR="005A1BFE" w:rsidRDefault="00027D8F" w:rsidP="00D1119D">
      <w:pPr>
        <w:pStyle w:val="Caption"/>
        <w:spacing w:after="2280"/>
      </w:pPr>
      <w:bookmarkStart w:id="84" w:name="_Toc488087943"/>
      <w:bookmarkStart w:id="85" w:name="_Toc488087989"/>
      <w:bookmarkStart w:id="86" w:name="_Toc525407002"/>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5</w:t>
      </w:r>
      <w:r w:rsidR="00427FDC">
        <w:rPr>
          <w:noProof/>
        </w:rPr>
        <w:fldChar w:fldCharType="end"/>
      </w:r>
      <w:r>
        <w:t xml:space="preserve"> – Constituent countries S167 grades</w:t>
      </w:r>
      <w:bookmarkEnd w:id="84"/>
      <w:bookmarkEnd w:id="85"/>
      <w:bookmarkEnd w:id="86"/>
    </w:p>
    <w:p w14:paraId="15FAA80C" w14:textId="77777777" w:rsidR="00B477A2" w:rsidRDefault="00B477A2" w:rsidP="00B477A2">
      <w:pPr>
        <w:pStyle w:val="Caption"/>
      </w:pPr>
    </w:p>
    <w:p w14:paraId="74C33CA9" w14:textId="6566D87D" w:rsidR="002A0182" w:rsidRDefault="002A0182" w:rsidP="00B477A2">
      <w:pPr>
        <w:pStyle w:val="Caption"/>
      </w:pPr>
      <w:bookmarkStart w:id="87" w:name="_Toc525406997"/>
      <w:r>
        <w:t xml:space="preserve">Table </w:t>
      </w:r>
      <w:r w:rsidR="00427FDC">
        <w:rPr>
          <w:noProof/>
        </w:rPr>
        <w:fldChar w:fldCharType="begin"/>
      </w:r>
      <w:r w:rsidR="00427FDC">
        <w:rPr>
          <w:noProof/>
        </w:rPr>
        <w:instrText xml:space="preserve"> SEQ Table \* ARABIC </w:instrText>
      </w:r>
      <w:r w:rsidR="00427FDC">
        <w:rPr>
          <w:noProof/>
        </w:rPr>
        <w:fldChar w:fldCharType="separate"/>
      </w:r>
      <w:r w:rsidR="00247F48">
        <w:rPr>
          <w:noProof/>
        </w:rPr>
        <w:t>6</w:t>
      </w:r>
      <w:r w:rsidR="00427FDC">
        <w:rPr>
          <w:noProof/>
        </w:rPr>
        <w:fldChar w:fldCharType="end"/>
      </w:r>
      <w:r>
        <w:t xml:space="preserve"> – Constituent countries S167 grades</w:t>
      </w:r>
      <w:bookmarkEnd w:id="87"/>
    </w:p>
    <w:p w14:paraId="6F7F34FA" w14:textId="77777777" w:rsidR="005A1BFE" w:rsidRDefault="005A1BFE">
      <w:pPr>
        <w:spacing w:after="0" w:line="240" w:lineRule="auto"/>
        <w:jc w:val="left"/>
      </w:pPr>
    </w:p>
    <w:p w14:paraId="32032B69" w14:textId="3096C29A" w:rsidR="00AF117A" w:rsidRDefault="00AF117A" w:rsidP="005A1BFE">
      <w:pPr>
        <w:jc w:val="left"/>
        <w:sectPr w:rsidR="00AF117A" w:rsidSect="009758D7">
          <w:footnotePr>
            <w:pos w:val="beneathText"/>
          </w:footnotePr>
          <w:pgSz w:w="11907" w:h="16840" w:code="9"/>
          <w:pgMar w:top="1440" w:right="1440" w:bottom="1440" w:left="1440" w:header="720" w:footer="720" w:gutter="0"/>
          <w:cols w:space="720"/>
          <w:noEndnote/>
          <w:docGrid w:linePitch="360"/>
        </w:sectPr>
      </w:pPr>
      <w:r>
        <w:t>There is a marked difference in implementation across the countries. All Welsh councils have either implemented S167 or intend to do so; 83% of English authorities and only 65% of Scottish authorities.</w:t>
      </w:r>
    </w:p>
    <w:p w14:paraId="6D834D0A" w14:textId="77777777" w:rsidR="00027D8F" w:rsidRDefault="00BD361D" w:rsidP="00027D8F">
      <w:pPr>
        <w:keepNext/>
        <w:jc w:val="center"/>
      </w:pPr>
      <w:r>
        <w:rPr>
          <w:noProof/>
        </w:rPr>
        <w:lastRenderedPageBreak/>
        <w:drawing>
          <wp:inline distT="0" distB="0" distL="0" distR="0" wp14:anchorId="0457AAD0" wp14:editId="10B7FECE">
            <wp:extent cx="6410261" cy="9077325"/>
            <wp:effectExtent l="114300" t="114300" r="200660" b="200025"/>
            <wp:docPr id="12" name="Picture 6" descr="Map: Taxi licensing authorities' approach to S167 Equality Act. Map of GB coloured according to S167 grade A-£.">
              <a:extLst xmlns:a="http://schemas.openxmlformats.org/drawingml/2006/main">
                <a:ext uri="{FF2B5EF4-FFF2-40B4-BE49-F238E27FC236}">
                  <a16:creationId xmlns:a16="http://schemas.microsoft.com/office/drawing/2014/main" id="{3D1DCE74-50E2-40E8-9550-4F1013E63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D1DCE74-50E2-40E8-9550-4F1013E6394C}"/>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9669" cy="9090647"/>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3EA52B65" w14:textId="2759BFBA" w:rsidR="005A1BFE" w:rsidRDefault="00027D8F" w:rsidP="00B477A2">
      <w:pPr>
        <w:pStyle w:val="Caption"/>
        <w:sectPr w:rsidR="005A1BFE" w:rsidSect="009758D7">
          <w:footnotePr>
            <w:pos w:val="beneathText"/>
          </w:footnotePr>
          <w:pgSz w:w="11907" w:h="16840" w:code="9"/>
          <w:pgMar w:top="567" w:right="425" w:bottom="567" w:left="425" w:header="284" w:footer="0" w:gutter="0"/>
          <w:cols w:space="720"/>
          <w:noEndnote/>
          <w:titlePg/>
          <w:docGrid w:linePitch="360"/>
        </w:sectPr>
      </w:pPr>
      <w:bookmarkStart w:id="88" w:name="_Toc525407010"/>
      <w:r>
        <w:t xml:space="preserve">Map  </w:t>
      </w:r>
      <w:r w:rsidR="00427FDC">
        <w:rPr>
          <w:noProof/>
        </w:rPr>
        <w:fldChar w:fldCharType="begin"/>
      </w:r>
      <w:r w:rsidR="00427FDC">
        <w:rPr>
          <w:noProof/>
        </w:rPr>
        <w:instrText xml:space="preserve"> SEQ Map_ \* ARABIC </w:instrText>
      </w:r>
      <w:r w:rsidR="00427FDC">
        <w:rPr>
          <w:noProof/>
        </w:rPr>
        <w:fldChar w:fldCharType="separate"/>
      </w:r>
      <w:r w:rsidR="00247F48">
        <w:rPr>
          <w:noProof/>
        </w:rPr>
        <w:t>2</w:t>
      </w:r>
      <w:r w:rsidR="00427FDC">
        <w:rPr>
          <w:noProof/>
        </w:rPr>
        <w:fldChar w:fldCharType="end"/>
      </w:r>
      <w:r>
        <w:t xml:space="preserve"> – S167 grades</w:t>
      </w:r>
      <w:bookmarkEnd w:id="88"/>
    </w:p>
    <w:p w14:paraId="27CBBE32" w14:textId="7EE6876A" w:rsidR="003B52A0" w:rsidRDefault="003B52A0" w:rsidP="005C032A">
      <w:pPr>
        <w:pStyle w:val="Heading2"/>
      </w:pPr>
      <w:bookmarkStart w:id="89" w:name="_Toc525413991"/>
      <w:bookmarkStart w:id="90" w:name="_Toc488088773"/>
      <w:bookmarkStart w:id="91" w:name="_Toc488093161"/>
      <w:r>
        <w:lastRenderedPageBreak/>
        <w:t>Change in intent and grade</w:t>
      </w:r>
      <w:bookmarkEnd w:id="89"/>
    </w:p>
    <w:p w14:paraId="1D5CC46F" w14:textId="215504F3" w:rsidR="00AF117A" w:rsidRDefault="00AF117A" w:rsidP="003B52A0">
      <w:r>
        <w:rPr>
          <w:noProof/>
        </w:rPr>
        <w:drawing>
          <wp:inline distT="0" distB="0" distL="0" distR="0" wp14:anchorId="69EC6D02" wp14:editId="300391B0">
            <wp:extent cx="2627630" cy="3373120"/>
            <wp:effectExtent l="57150" t="57150" r="172720" b="189230"/>
            <wp:docPr id="38" name="Chart 38" descr="Bar chart: GB S167 intent. April 2017: 42% of authorities. Nov 2017: 50%. May 2018 48%.">
              <a:extLst xmlns:a="http://schemas.openxmlformats.org/drawingml/2006/main">
                <a:ext uri="{FF2B5EF4-FFF2-40B4-BE49-F238E27FC236}">
                  <a16:creationId xmlns:a16="http://schemas.microsoft.com/office/drawing/2014/main" id="{9B7C17FB-AC07-4C87-8AD6-06D6F6A8F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21F36">
        <w:rPr>
          <w:noProof/>
        </w:rPr>
        <w:drawing>
          <wp:inline distT="0" distB="0" distL="0" distR="0" wp14:anchorId="5C35038C" wp14:editId="13F8D10D">
            <wp:extent cx="2628000" cy="3373200"/>
            <wp:effectExtent l="57150" t="57150" r="172720" b="189230"/>
            <wp:docPr id="40" name="Chart 40" descr="Bar chart showing GB S167 grade changes between April 2017, Nov 2017 and May 2018. The proportion of authorities with S167 lists, or intending to have one, has increased whereas the proportion of authorities still undecided or not intending to have one has decreased.">
              <a:extLst xmlns:a="http://schemas.openxmlformats.org/drawingml/2006/main">
                <a:ext uri="{FF2B5EF4-FFF2-40B4-BE49-F238E27FC236}">
                  <a16:creationId xmlns:a16="http://schemas.microsoft.com/office/drawing/2014/main" id="{97A18BBC-D6EA-43F6-A1E0-F031EFF80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7620" w:type="dxa"/>
        <w:jc w:val="center"/>
        <w:tblLook w:val="04A0" w:firstRow="1" w:lastRow="0" w:firstColumn="1" w:lastColumn="0" w:noHBand="0" w:noVBand="1"/>
      </w:tblPr>
      <w:tblGrid>
        <w:gridCol w:w="420"/>
        <w:gridCol w:w="760"/>
        <w:gridCol w:w="5900"/>
        <w:gridCol w:w="540"/>
      </w:tblGrid>
      <w:tr w:rsidR="00C61EA5" w:rsidRPr="00C61EA5" w14:paraId="76F2F85C" w14:textId="77777777" w:rsidTr="009942FD">
        <w:trPr>
          <w:trHeight w:val="50"/>
          <w:jc w:val="center"/>
        </w:trPr>
        <w:tc>
          <w:tcPr>
            <w:tcW w:w="420" w:type="dxa"/>
            <w:tcBorders>
              <w:top w:val="single" w:sz="12" w:space="0" w:color="auto"/>
              <w:left w:val="single" w:sz="12" w:space="0" w:color="auto"/>
              <w:bottom w:val="nil"/>
              <w:right w:val="nil"/>
            </w:tcBorders>
            <w:shd w:val="clear" w:color="FFFFCC" w:fill="FFFFFF"/>
            <w:noWrap/>
            <w:vAlign w:val="bottom"/>
            <w:hideMark/>
          </w:tcPr>
          <w:p w14:paraId="22B81E2E"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single" w:sz="12" w:space="0" w:color="auto"/>
              <w:left w:val="nil"/>
              <w:bottom w:val="nil"/>
              <w:right w:val="nil"/>
            </w:tcBorders>
            <w:shd w:val="clear" w:color="FFFFCC" w:fill="FFFFFF"/>
            <w:noWrap/>
            <w:vAlign w:val="bottom"/>
            <w:hideMark/>
          </w:tcPr>
          <w:p w14:paraId="0C6A97F7"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5900" w:type="dxa"/>
            <w:tcBorders>
              <w:top w:val="single" w:sz="12" w:space="0" w:color="auto"/>
              <w:left w:val="nil"/>
              <w:bottom w:val="nil"/>
              <w:right w:val="nil"/>
            </w:tcBorders>
            <w:shd w:val="clear" w:color="FFFFCC" w:fill="FFFFFF"/>
            <w:noWrap/>
            <w:vAlign w:val="bottom"/>
            <w:hideMark/>
          </w:tcPr>
          <w:p w14:paraId="70549C9E"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540" w:type="dxa"/>
            <w:tcBorders>
              <w:top w:val="single" w:sz="12" w:space="0" w:color="auto"/>
              <w:left w:val="nil"/>
              <w:bottom w:val="nil"/>
              <w:right w:val="single" w:sz="12" w:space="0" w:color="auto"/>
            </w:tcBorders>
            <w:shd w:val="clear" w:color="FFFFCC" w:fill="FFFFFF"/>
            <w:noWrap/>
            <w:vAlign w:val="bottom"/>
            <w:hideMark/>
          </w:tcPr>
          <w:p w14:paraId="79095AF2"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58E1465A"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622EEAC4"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6660" w:type="dxa"/>
            <w:gridSpan w:val="2"/>
            <w:tcBorders>
              <w:top w:val="nil"/>
              <w:left w:val="nil"/>
              <w:bottom w:val="nil"/>
              <w:right w:val="nil"/>
            </w:tcBorders>
            <w:shd w:val="clear" w:color="FFFFCC" w:fill="FFFFFF"/>
            <w:noWrap/>
            <w:vAlign w:val="bottom"/>
            <w:hideMark/>
          </w:tcPr>
          <w:p w14:paraId="3CF13918"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LEGEND:</w:t>
            </w:r>
          </w:p>
        </w:tc>
        <w:tc>
          <w:tcPr>
            <w:tcW w:w="540" w:type="dxa"/>
            <w:tcBorders>
              <w:top w:val="nil"/>
              <w:left w:val="nil"/>
              <w:bottom w:val="nil"/>
              <w:right w:val="single" w:sz="12" w:space="0" w:color="auto"/>
            </w:tcBorders>
            <w:shd w:val="clear" w:color="FFFFCC" w:fill="FFFFFF"/>
            <w:noWrap/>
            <w:vAlign w:val="bottom"/>
            <w:hideMark/>
          </w:tcPr>
          <w:p w14:paraId="0D282A09"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459F39C5"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2DF5EE9A"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B0CC66"/>
            <w:noWrap/>
            <w:vAlign w:val="bottom"/>
            <w:hideMark/>
          </w:tcPr>
          <w:p w14:paraId="4ECF64FC" w14:textId="77777777" w:rsidR="00C61EA5" w:rsidRPr="00C61EA5" w:rsidRDefault="00C61EA5" w:rsidP="00C61EA5">
            <w:pPr>
              <w:spacing w:after="0" w:line="240" w:lineRule="auto"/>
              <w:jc w:val="center"/>
              <w:rPr>
                <w:rFonts w:ascii="Arial" w:eastAsia="Times New Roman" w:hAnsi="Arial" w:cs="Arial"/>
                <w:b/>
                <w:bCs/>
                <w:color w:val="375623"/>
                <w:sz w:val="20"/>
                <w:szCs w:val="20"/>
                <w:lang w:eastAsia="en-GB"/>
              </w:rPr>
            </w:pPr>
            <w:r w:rsidRPr="00C61EA5">
              <w:rPr>
                <w:rFonts w:ascii="Arial" w:eastAsia="Times New Roman" w:hAnsi="Arial" w:cs="Arial"/>
                <w:b/>
                <w:bCs/>
                <w:color w:val="375623"/>
                <w:sz w:val="20"/>
                <w:szCs w:val="20"/>
                <w:lang w:eastAsia="en-GB"/>
              </w:rPr>
              <w:t>A</w:t>
            </w:r>
          </w:p>
        </w:tc>
        <w:tc>
          <w:tcPr>
            <w:tcW w:w="5900" w:type="dxa"/>
            <w:tcBorders>
              <w:top w:val="nil"/>
              <w:left w:val="nil"/>
              <w:bottom w:val="nil"/>
              <w:right w:val="nil"/>
            </w:tcBorders>
            <w:shd w:val="clear" w:color="FFFFCC" w:fill="FFFFFF"/>
            <w:noWrap/>
            <w:vAlign w:val="bottom"/>
            <w:hideMark/>
          </w:tcPr>
          <w:p w14:paraId="0561E5A0"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Current S167 list</w:t>
            </w:r>
          </w:p>
        </w:tc>
        <w:tc>
          <w:tcPr>
            <w:tcW w:w="540" w:type="dxa"/>
            <w:tcBorders>
              <w:top w:val="nil"/>
              <w:left w:val="nil"/>
              <w:bottom w:val="nil"/>
              <w:right w:val="single" w:sz="12" w:space="0" w:color="auto"/>
            </w:tcBorders>
            <w:shd w:val="clear" w:color="FFFFCC" w:fill="FFFFFF"/>
            <w:noWrap/>
            <w:vAlign w:val="bottom"/>
            <w:hideMark/>
          </w:tcPr>
          <w:p w14:paraId="17B2E8F2"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0859919B"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08781AB4"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C1FFC1"/>
            <w:noWrap/>
            <w:vAlign w:val="bottom"/>
            <w:hideMark/>
          </w:tcPr>
          <w:p w14:paraId="02A52098" w14:textId="77777777" w:rsidR="00C61EA5" w:rsidRPr="00C61EA5" w:rsidRDefault="00C61EA5" w:rsidP="00C61EA5">
            <w:pPr>
              <w:spacing w:after="0" w:line="240" w:lineRule="auto"/>
              <w:jc w:val="center"/>
              <w:rPr>
                <w:rFonts w:ascii="Arial" w:eastAsia="Times New Roman" w:hAnsi="Arial" w:cs="Arial"/>
                <w:b/>
                <w:bCs/>
                <w:color w:val="375623"/>
                <w:sz w:val="20"/>
                <w:szCs w:val="20"/>
                <w:lang w:eastAsia="en-GB"/>
              </w:rPr>
            </w:pPr>
            <w:r w:rsidRPr="00C61EA5">
              <w:rPr>
                <w:rFonts w:ascii="Arial" w:eastAsia="Times New Roman" w:hAnsi="Arial" w:cs="Arial"/>
                <w:b/>
                <w:bCs/>
                <w:color w:val="375623"/>
                <w:sz w:val="20"/>
                <w:szCs w:val="20"/>
                <w:lang w:eastAsia="en-GB"/>
              </w:rPr>
              <w:t>B</w:t>
            </w:r>
          </w:p>
        </w:tc>
        <w:tc>
          <w:tcPr>
            <w:tcW w:w="5900" w:type="dxa"/>
            <w:tcBorders>
              <w:top w:val="nil"/>
              <w:left w:val="nil"/>
              <w:bottom w:val="nil"/>
              <w:right w:val="nil"/>
            </w:tcBorders>
            <w:shd w:val="clear" w:color="FFFFCC" w:fill="FFFFFF"/>
            <w:noWrap/>
            <w:vAlign w:val="bottom"/>
            <w:hideMark/>
          </w:tcPr>
          <w:p w14:paraId="13E01959"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Producing S167 list by April 2018</w:t>
            </w:r>
          </w:p>
        </w:tc>
        <w:tc>
          <w:tcPr>
            <w:tcW w:w="540" w:type="dxa"/>
            <w:tcBorders>
              <w:top w:val="nil"/>
              <w:left w:val="nil"/>
              <w:bottom w:val="nil"/>
              <w:right w:val="single" w:sz="12" w:space="0" w:color="auto"/>
            </w:tcBorders>
            <w:shd w:val="clear" w:color="FFFFCC" w:fill="FFFFFF"/>
            <w:noWrap/>
            <w:vAlign w:val="bottom"/>
            <w:hideMark/>
          </w:tcPr>
          <w:p w14:paraId="173932AB"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0A175FAC"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6F33A5B9"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FFFF66"/>
            <w:noWrap/>
            <w:vAlign w:val="bottom"/>
            <w:hideMark/>
          </w:tcPr>
          <w:p w14:paraId="2B698FD0" w14:textId="77777777" w:rsidR="00C61EA5" w:rsidRPr="00C61EA5" w:rsidRDefault="00C61EA5" w:rsidP="00C61EA5">
            <w:pPr>
              <w:spacing w:after="0" w:line="240" w:lineRule="auto"/>
              <w:jc w:val="center"/>
              <w:rPr>
                <w:rFonts w:ascii="Arial" w:eastAsia="Times New Roman" w:hAnsi="Arial" w:cs="Arial"/>
                <w:b/>
                <w:bCs/>
                <w:color w:val="806000"/>
                <w:sz w:val="20"/>
                <w:szCs w:val="20"/>
                <w:lang w:eastAsia="en-GB"/>
              </w:rPr>
            </w:pPr>
            <w:r w:rsidRPr="00C61EA5">
              <w:rPr>
                <w:rFonts w:ascii="Arial" w:eastAsia="Times New Roman" w:hAnsi="Arial" w:cs="Arial"/>
                <w:b/>
                <w:bCs/>
                <w:color w:val="806000"/>
                <w:sz w:val="20"/>
                <w:szCs w:val="20"/>
                <w:lang w:eastAsia="en-GB"/>
              </w:rPr>
              <w:t>C</w:t>
            </w:r>
          </w:p>
        </w:tc>
        <w:tc>
          <w:tcPr>
            <w:tcW w:w="5900" w:type="dxa"/>
            <w:tcBorders>
              <w:top w:val="nil"/>
              <w:left w:val="nil"/>
              <w:bottom w:val="nil"/>
              <w:right w:val="nil"/>
            </w:tcBorders>
            <w:shd w:val="clear" w:color="FFFFCC" w:fill="FFFFFF"/>
            <w:noWrap/>
            <w:vAlign w:val="bottom"/>
            <w:hideMark/>
          </w:tcPr>
          <w:p w14:paraId="0BBEDDBB"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Producing S167 list but no clear deadline</w:t>
            </w:r>
          </w:p>
        </w:tc>
        <w:tc>
          <w:tcPr>
            <w:tcW w:w="540" w:type="dxa"/>
            <w:tcBorders>
              <w:top w:val="nil"/>
              <w:left w:val="nil"/>
              <w:bottom w:val="nil"/>
              <w:right w:val="single" w:sz="12" w:space="0" w:color="auto"/>
            </w:tcBorders>
            <w:shd w:val="clear" w:color="FFFFCC" w:fill="FFFFFF"/>
            <w:noWrap/>
            <w:vAlign w:val="bottom"/>
            <w:hideMark/>
          </w:tcPr>
          <w:p w14:paraId="344D0721"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0FF5DE3C"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3DBE056D"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FFC267"/>
            <w:noWrap/>
            <w:vAlign w:val="bottom"/>
            <w:hideMark/>
          </w:tcPr>
          <w:p w14:paraId="3DE30C6D" w14:textId="77777777" w:rsidR="00C61EA5" w:rsidRPr="00C61EA5" w:rsidRDefault="00C61EA5" w:rsidP="00C61EA5">
            <w:pPr>
              <w:spacing w:after="0" w:line="240" w:lineRule="auto"/>
              <w:jc w:val="center"/>
              <w:rPr>
                <w:rFonts w:ascii="Arial" w:eastAsia="Times New Roman" w:hAnsi="Arial" w:cs="Arial"/>
                <w:b/>
                <w:bCs/>
                <w:color w:val="833C0C"/>
                <w:sz w:val="20"/>
                <w:szCs w:val="20"/>
                <w:lang w:eastAsia="en-GB"/>
              </w:rPr>
            </w:pPr>
            <w:r w:rsidRPr="00C61EA5">
              <w:rPr>
                <w:rFonts w:ascii="Arial" w:eastAsia="Times New Roman" w:hAnsi="Arial" w:cs="Arial"/>
                <w:b/>
                <w:bCs/>
                <w:color w:val="833C0C"/>
                <w:sz w:val="20"/>
                <w:szCs w:val="20"/>
                <w:lang w:eastAsia="en-GB"/>
              </w:rPr>
              <w:t>D</w:t>
            </w:r>
          </w:p>
        </w:tc>
        <w:tc>
          <w:tcPr>
            <w:tcW w:w="5900" w:type="dxa"/>
            <w:tcBorders>
              <w:top w:val="nil"/>
              <w:left w:val="nil"/>
              <w:bottom w:val="nil"/>
              <w:right w:val="nil"/>
            </w:tcBorders>
            <w:shd w:val="clear" w:color="FFFFCC" w:fill="FFFFFF"/>
            <w:noWrap/>
            <w:vAlign w:val="bottom"/>
            <w:hideMark/>
          </w:tcPr>
          <w:p w14:paraId="4A6085AB"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Undecided whether producing S167 list</w:t>
            </w:r>
          </w:p>
        </w:tc>
        <w:tc>
          <w:tcPr>
            <w:tcW w:w="540" w:type="dxa"/>
            <w:tcBorders>
              <w:top w:val="nil"/>
              <w:left w:val="nil"/>
              <w:bottom w:val="nil"/>
              <w:right w:val="single" w:sz="12" w:space="0" w:color="auto"/>
            </w:tcBorders>
            <w:shd w:val="clear" w:color="FFFFCC" w:fill="FFFFFF"/>
            <w:noWrap/>
            <w:vAlign w:val="bottom"/>
            <w:hideMark/>
          </w:tcPr>
          <w:p w14:paraId="73F4C351"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532C2A83"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665B552C"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FE7966"/>
            <w:noWrap/>
            <w:vAlign w:val="bottom"/>
            <w:hideMark/>
          </w:tcPr>
          <w:p w14:paraId="58DF6DB9" w14:textId="77777777" w:rsidR="00C61EA5" w:rsidRPr="00C61EA5" w:rsidRDefault="00C61EA5" w:rsidP="00C61EA5">
            <w:pPr>
              <w:spacing w:after="0" w:line="240" w:lineRule="auto"/>
              <w:jc w:val="center"/>
              <w:rPr>
                <w:rFonts w:ascii="Arial" w:eastAsia="Times New Roman" w:hAnsi="Arial" w:cs="Arial"/>
                <w:b/>
                <w:bCs/>
                <w:color w:val="161616"/>
                <w:sz w:val="20"/>
                <w:szCs w:val="20"/>
                <w:lang w:eastAsia="en-GB"/>
              </w:rPr>
            </w:pPr>
            <w:r w:rsidRPr="00C61EA5">
              <w:rPr>
                <w:rFonts w:ascii="Arial" w:eastAsia="Times New Roman" w:hAnsi="Arial" w:cs="Arial"/>
                <w:b/>
                <w:bCs/>
                <w:color w:val="161616"/>
                <w:sz w:val="20"/>
                <w:szCs w:val="20"/>
                <w:lang w:eastAsia="en-GB"/>
              </w:rPr>
              <w:t>E</w:t>
            </w:r>
          </w:p>
        </w:tc>
        <w:tc>
          <w:tcPr>
            <w:tcW w:w="5900" w:type="dxa"/>
            <w:tcBorders>
              <w:top w:val="nil"/>
              <w:left w:val="nil"/>
              <w:bottom w:val="nil"/>
              <w:right w:val="nil"/>
            </w:tcBorders>
            <w:shd w:val="clear" w:color="FFFFCC" w:fill="FFFFFF"/>
            <w:noWrap/>
            <w:vAlign w:val="bottom"/>
            <w:hideMark/>
          </w:tcPr>
          <w:p w14:paraId="0E812BE6"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No current plans to produce S167 list</w:t>
            </w:r>
          </w:p>
        </w:tc>
        <w:tc>
          <w:tcPr>
            <w:tcW w:w="540" w:type="dxa"/>
            <w:tcBorders>
              <w:top w:val="nil"/>
              <w:left w:val="nil"/>
              <w:bottom w:val="nil"/>
              <w:right w:val="single" w:sz="12" w:space="0" w:color="auto"/>
            </w:tcBorders>
            <w:shd w:val="clear" w:color="FFFFCC" w:fill="FFFFFF"/>
            <w:noWrap/>
            <w:vAlign w:val="bottom"/>
            <w:hideMark/>
          </w:tcPr>
          <w:p w14:paraId="0C7DDA4B"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06F65060" w14:textId="77777777" w:rsidTr="009942FD">
        <w:trPr>
          <w:trHeight w:val="80"/>
          <w:jc w:val="center"/>
        </w:trPr>
        <w:tc>
          <w:tcPr>
            <w:tcW w:w="420" w:type="dxa"/>
            <w:tcBorders>
              <w:top w:val="nil"/>
              <w:left w:val="single" w:sz="12" w:space="0" w:color="auto"/>
              <w:bottom w:val="nil"/>
              <w:right w:val="nil"/>
            </w:tcBorders>
            <w:shd w:val="clear" w:color="FFFFCC" w:fill="FFFFFF"/>
            <w:noWrap/>
            <w:vAlign w:val="bottom"/>
            <w:hideMark/>
          </w:tcPr>
          <w:p w14:paraId="1DE90C16"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FFFFFF"/>
            <w:noWrap/>
            <w:vAlign w:val="bottom"/>
            <w:hideMark/>
          </w:tcPr>
          <w:p w14:paraId="10817758"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5900" w:type="dxa"/>
            <w:tcBorders>
              <w:top w:val="nil"/>
              <w:left w:val="nil"/>
              <w:bottom w:val="nil"/>
              <w:right w:val="nil"/>
            </w:tcBorders>
            <w:shd w:val="clear" w:color="FFFFCC" w:fill="FFFFFF"/>
            <w:noWrap/>
            <w:vAlign w:val="bottom"/>
            <w:hideMark/>
          </w:tcPr>
          <w:p w14:paraId="51CC2C28"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540" w:type="dxa"/>
            <w:tcBorders>
              <w:top w:val="nil"/>
              <w:left w:val="nil"/>
              <w:bottom w:val="nil"/>
              <w:right w:val="single" w:sz="12" w:space="0" w:color="auto"/>
            </w:tcBorders>
            <w:shd w:val="clear" w:color="FFFFCC" w:fill="FFFFFF"/>
            <w:noWrap/>
            <w:vAlign w:val="bottom"/>
            <w:hideMark/>
          </w:tcPr>
          <w:p w14:paraId="20C6D56C"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304B578F"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327638EF"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99BD66"/>
            <w:noWrap/>
            <w:vAlign w:val="bottom"/>
            <w:hideMark/>
          </w:tcPr>
          <w:p w14:paraId="7C72FC4A" w14:textId="77777777" w:rsidR="00C61EA5" w:rsidRPr="00C61EA5" w:rsidRDefault="00C61EA5" w:rsidP="00C61EA5">
            <w:pPr>
              <w:spacing w:after="0" w:line="240" w:lineRule="auto"/>
              <w:jc w:val="center"/>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Yes</w:t>
            </w:r>
          </w:p>
        </w:tc>
        <w:tc>
          <w:tcPr>
            <w:tcW w:w="5900" w:type="dxa"/>
            <w:tcBorders>
              <w:top w:val="nil"/>
              <w:left w:val="nil"/>
              <w:bottom w:val="nil"/>
              <w:right w:val="nil"/>
            </w:tcBorders>
            <w:shd w:val="clear" w:color="FFFFCC" w:fill="FFFFFF"/>
            <w:noWrap/>
            <w:vAlign w:val="bottom"/>
            <w:hideMark/>
          </w:tcPr>
          <w:p w14:paraId="6245B06C"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have a S167 list or intend one by April 2018</w:t>
            </w:r>
          </w:p>
        </w:tc>
        <w:tc>
          <w:tcPr>
            <w:tcW w:w="540" w:type="dxa"/>
            <w:tcBorders>
              <w:top w:val="nil"/>
              <w:left w:val="nil"/>
              <w:bottom w:val="nil"/>
              <w:right w:val="single" w:sz="12" w:space="0" w:color="auto"/>
            </w:tcBorders>
            <w:shd w:val="clear" w:color="FFFFCC" w:fill="FFFFFF"/>
            <w:noWrap/>
            <w:vAlign w:val="bottom"/>
            <w:hideMark/>
          </w:tcPr>
          <w:p w14:paraId="268DFDB9"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23F8348D" w14:textId="77777777" w:rsidTr="00C61EA5">
        <w:trPr>
          <w:trHeight w:val="255"/>
          <w:jc w:val="center"/>
        </w:trPr>
        <w:tc>
          <w:tcPr>
            <w:tcW w:w="420" w:type="dxa"/>
            <w:tcBorders>
              <w:top w:val="nil"/>
              <w:left w:val="single" w:sz="12" w:space="0" w:color="auto"/>
              <w:bottom w:val="nil"/>
              <w:right w:val="nil"/>
            </w:tcBorders>
            <w:shd w:val="clear" w:color="FFFFCC" w:fill="FFFFFF"/>
            <w:noWrap/>
            <w:vAlign w:val="bottom"/>
            <w:hideMark/>
          </w:tcPr>
          <w:p w14:paraId="556AC903"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nil"/>
              <w:right w:val="nil"/>
            </w:tcBorders>
            <w:shd w:val="clear" w:color="FFFFCC" w:fill="FF7D67"/>
            <w:noWrap/>
            <w:vAlign w:val="bottom"/>
            <w:hideMark/>
          </w:tcPr>
          <w:p w14:paraId="7CAE5D8A" w14:textId="77777777" w:rsidR="00C61EA5" w:rsidRPr="00C61EA5" w:rsidRDefault="00C61EA5" w:rsidP="00C61EA5">
            <w:pPr>
              <w:spacing w:after="0" w:line="240" w:lineRule="auto"/>
              <w:jc w:val="center"/>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No</w:t>
            </w:r>
          </w:p>
        </w:tc>
        <w:tc>
          <w:tcPr>
            <w:tcW w:w="5900" w:type="dxa"/>
            <w:tcBorders>
              <w:top w:val="nil"/>
              <w:left w:val="nil"/>
              <w:bottom w:val="nil"/>
              <w:right w:val="nil"/>
            </w:tcBorders>
            <w:shd w:val="clear" w:color="FFFFCC" w:fill="FFFFFF"/>
            <w:noWrap/>
            <w:vAlign w:val="bottom"/>
            <w:hideMark/>
          </w:tcPr>
          <w:p w14:paraId="48477516"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yet to decide / decided not to / not set a date. (C, D or E)</w:t>
            </w:r>
          </w:p>
        </w:tc>
        <w:tc>
          <w:tcPr>
            <w:tcW w:w="540" w:type="dxa"/>
            <w:tcBorders>
              <w:top w:val="nil"/>
              <w:left w:val="nil"/>
              <w:bottom w:val="nil"/>
              <w:right w:val="single" w:sz="12" w:space="0" w:color="auto"/>
            </w:tcBorders>
            <w:shd w:val="clear" w:color="FFFFCC" w:fill="FFFFFF"/>
            <w:noWrap/>
            <w:vAlign w:val="bottom"/>
            <w:hideMark/>
          </w:tcPr>
          <w:p w14:paraId="7863B3DE"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r w:rsidR="00C61EA5" w:rsidRPr="00C61EA5" w14:paraId="75DEFDEB" w14:textId="77777777" w:rsidTr="00C61EA5">
        <w:trPr>
          <w:trHeight w:val="80"/>
          <w:jc w:val="center"/>
        </w:trPr>
        <w:tc>
          <w:tcPr>
            <w:tcW w:w="420" w:type="dxa"/>
            <w:tcBorders>
              <w:top w:val="nil"/>
              <w:left w:val="single" w:sz="12" w:space="0" w:color="auto"/>
              <w:bottom w:val="single" w:sz="12" w:space="0" w:color="auto"/>
              <w:right w:val="nil"/>
            </w:tcBorders>
            <w:shd w:val="clear" w:color="FFFFCC" w:fill="FFFFFF"/>
            <w:noWrap/>
            <w:vAlign w:val="bottom"/>
            <w:hideMark/>
          </w:tcPr>
          <w:p w14:paraId="0404C417"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760" w:type="dxa"/>
            <w:tcBorders>
              <w:top w:val="nil"/>
              <w:left w:val="nil"/>
              <w:bottom w:val="single" w:sz="12" w:space="0" w:color="auto"/>
              <w:right w:val="nil"/>
            </w:tcBorders>
            <w:shd w:val="clear" w:color="FFFFCC" w:fill="FFFFFF"/>
            <w:noWrap/>
            <w:vAlign w:val="bottom"/>
            <w:hideMark/>
          </w:tcPr>
          <w:p w14:paraId="45E3690B"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5900" w:type="dxa"/>
            <w:tcBorders>
              <w:top w:val="nil"/>
              <w:left w:val="nil"/>
              <w:bottom w:val="single" w:sz="12" w:space="0" w:color="auto"/>
              <w:right w:val="nil"/>
            </w:tcBorders>
            <w:shd w:val="clear" w:color="FFFFCC" w:fill="FFFFFF"/>
            <w:noWrap/>
            <w:vAlign w:val="bottom"/>
            <w:hideMark/>
          </w:tcPr>
          <w:p w14:paraId="404197CC"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c>
          <w:tcPr>
            <w:tcW w:w="540" w:type="dxa"/>
            <w:tcBorders>
              <w:top w:val="nil"/>
              <w:left w:val="nil"/>
              <w:bottom w:val="single" w:sz="12" w:space="0" w:color="auto"/>
              <w:right w:val="single" w:sz="12" w:space="0" w:color="auto"/>
            </w:tcBorders>
            <w:shd w:val="clear" w:color="FFFFCC" w:fill="FFFFFF"/>
            <w:noWrap/>
            <w:vAlign w:val="bottom"/>
            <w:hideMark/>
          </w:tcPr>
          <w:p w14:paraId="2F694DEB" w14:textId="77777777" w:rsidR="00C61EA5" w:rsidRPr="00C61EA5" w:rsidRDefault="00C61EA5" w:rsidP="00C61EA5">
            <w:pPr>
              <w:spacing w:after="0" w:line="240" w:lineRule="auto"/>
              <w:jc w:val="left"/>
              <w:rPr>
                <w:rFonts w:ascii="Arial" w:eastAsia="Times New Roman" w:hAnsi="Arial" w:cs="Arial"/>
                <w:b/>
                <w:bCs/>
                <w:color w:val="000000"/>
                <w:sz w:val="20"/>
                <w:szCs w:val="20"/>
                <w:lang w:eastAsia="en-GB"/>
              </w:rPr>
            </w:pPr>
            <w:r w:rsidRPr="00C61EA5">
              <w:rPr>
                <w:rFonts w:ascii="Arial" w:eastAsia="Times New Roman" w:hAnsi="Arial" w:cs="Arial"/>
                <w:b/>
                <w:bCs/>
                <w:color w:val="000000"/>
                <w:sz w:val="20"/>
                <w:szCs w:val="20"/>
                <w:lang w:eastAsia="en-GB"/>
              </w:rPr>
              <w:t> </w:t>
            </w:r>
          </w:p>
        </w:tc>
      </w:tr>
    </w:tbl>
    <w:p w14:paraId="27B63E85" w14:textId="4ACBB342" w:rsidR="00C61EA5" w:rsidRDefault="00C61EA5" w:rsidP="00C61EA5">
      <w:pPr>
        <w:pStyle w:val="Caption"/>
      </w:pPr>
      <w:bookmarkStart w:id="92" w:name="_Toc525407003"/>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6</w:t>
      </w:r>
      <w:r w:rsidR="00427FDC">
        <w:rPr>
          <w:noProof/>
        </w:rPr>
        <w:fldChar w:fldCharType="end"/>
      </w:r>
      <w:r>
        <w:t xml:space="preserve"> – Change in UK S167 </w:t>
      </w:r>
      <w:r w:rsidR="00E52302">
        <w:t>implementation</w:t>
      </w:r>
      <w:bookmarkEnd w:id="92"/>
    </w:p>
    <w:p w14:paraId="6CE5DF65" w14:textId="7FFCA5E3" w:rsidR="00C61EA5" w:rsidRDefault="00C61EA5" w:rsidP="003B52A0">
      <w:r>
        <w:t xml:space="preserve">Whilst the number of authorities that have implemented S167 has increased </w:t>
      </w:r>
      <w:r w:rsidR="00AD7172">
        <w:t>over</w:t>
      </w:r>
      <w:r>
        <w:t xml:space="preserve"> the year, the overall proportion of councils with concrete plans to do so has not.</w:t>
      </w:r>
    </w:p>
    <w:p w14:paraId="030F61C1" w14:textId="5F4667DE" w:rsidR="00E52302" w:rsidRDefault="00E52302" w:rsidP="003B52A0">
      <w:r>
        <w:t xml:space="preserve">The difference between the nations, however, is striking. Whilst Scotland and England show comparatively </w:t>
      </w:r>
      <w:r w:rsidR="00AD7172">
        <w:t>minor change</w:t>
      </w:r>
      <w:r>
        <w:t xml:space="preserve"> in approach to S167 over time, Wales showed drastic change from 32% of authorities with a concrete intent to implement S167, to 77% having </w:t>
      </w:r>
      <w:r w:rsidR="00453B75">
        <w:t>implemented</w:t>
      </w:r>
      <w:r>
        <w:t xml:space="preserve"> S167 a year later.</w:t>
      </w:r>
    </w:p>
    <w:p w14:paraId="03A4354D" w14:textId="3F59153A" w:rsidR="00F73288" w:rsidRDefault="00F73288" w:rsidP="003B52A0">
      <w:r>
        <w:t xml:space="preserve">In response to my question to Welsh authorities and the Welsh government asking what had prompted the increase in uptake, </w:t>
      </w:r>
      <w:r w:rsidR="00AD7172">
        <w:t xml:space="preserve">they told me </w:t>
      </w:r>
      <w:r>
        <w:t>there was no set reason – each council had decided to do so without any overarching campaign or communication.</w:t>
      </w:r>
    </w:p>
    <w:p w14:paraId="36A0A9FD" w14:textId="77777777" w:rsidR="00C61EA5" w:rsidRDefault="00C61EA5">
      <w:pPr>
        <w:spacing w:after="0" w:line="240" w:lineRule="auto"/>
        <w:jc w:val="left"/>
      </w:pPr>
      <w:r>
        <w:br w:type="page"/>
      </w:r>
    </w:p>
    <w:p w14:paraId="7FD90EA5" w14:textId="77777777" w:rsidR="00214533" w:rsidRDefault="00214533" w:rsidP="003B52A0">
      <w:pPr>
        <w:sectPr w:rsidR="00214533" w:rsidSect="009758D7">
          <w:footnotePr>
            <w:pos w:val="beneathText"/>
          </w:footnotePr>
          <w:pgSz w:w="11907" w:h="16840" w:code="9"/>
          <w:pgMar w:top="1440" w:right="1440" w:bottom="1440" w:left="1440" w:header="567" w:footer="646" w:gutter="0"/>
          <w:cols w:space="720"/>
          <w:noEndnote/>
          <w:titlePg/>
          <w:docGrid w:linePitch="360"/>
        </w:sectPr>
      </w:pPr>
    </w:p>
    <w:p w14:paraId="1BA2C695" w14:textId="73402BB1" w:rsidR="00073478" w:rsidRDefault="00073478" w:rsidP="003B52A0">
      <w:r>
        <w:rPr>
          <w:noProof/>
        </w:rPr>
        <w:lastRenderedPageBreak/>
        <w:drawing>
          <wp:inline distT="0" distB="0" distL="0" distR="0" wp14:anchorId="3C93B476" wp14:editId="4B789778">
            <wp:extent cx="2628000" cy="2268000"/>
            <wp:effectExtent l="57150" t="38100" r="172720" b="189865"/>
            <wp:docPr id="204" name="Chart 204" descr="Bar chart: England S167 intent. April 2017 Yes: 44%. Nov 2017 Yes: 51%. May 2018 Yes: 48%.">
              <a:extLst xmlns:a="http://schemas.openxmlformats.org/drawingml/2006/main">
                <a:ext uri="{FF2B5EF4-FFF2-40B4-BE49-F238E27FC236}">
                  <a16:creationId xmlns:a16="http://schemas.microsoft.com/office/drawing/2014/main" id="{F0987981-9921-4A30-8FCF-1D82E6DDD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5015A">
        <w:rPr>
          <w:noProof/>
        </w:rPr>
        <w:drawing>
          <wp:inline distT="0" distB="0" distL="0" distR="0" wp14:anchorId="61F2CBCF" wp14:editId="6C57B5D3">
            <wp:extent cx="2628000" cy="2268000"/>
            <wp:effectExtent l="57150" t="38100" r="172720" b="189865"/>
            <wp:docPr id="206" name="Chart 206" descr="Bar chart: England S167 Grade. Shows substantial increase in the number of authorities with or intending to have a S167 list, and decrease in the number of authorities who are undecided or have decided not to have a list.">
              <a:extLst xmlns:a="http://schemas.openxmlformats.org/drawingml/2006/main">
                <a:ext uri="{FF2B5EF4-FFF2-40B4-BE49-F238E27FC236}">
                  <a16:creationId xmlns:a16="http://schemas.microsoft.com/office/drawing/2014/main" id="{016D8BCC-5237-4A73-B50F-C2E95378F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56E013" w14:textId="6BDBC32A" w:rsidR="0025015A" w:rsidRDefault="0025015A" w:rsidP="003B52A0">
      <w:r>
        <w:rPr>
          <w:noProof/>
        </w:rPr>
        <w:drawing>
          <wp:inline distT="0" distB="0" distL="0" distR="0" wp14:anchorId="195AF9A8" wp14:editId="7BE75AAE">
            <wp:extent cx="2628000" cy="2268000"/>
            <wp:effectExtent l="57150" t="38100" r="172720" b="189865"/>
            <wp:docPr id="207" name="Chart 207" descr="Bar chart: Scotland S167 intent. April 2017 Yes: 25%. Nov 2017 Yes: 28%. May 2018 Yes: 34%.">
              <a:extLst xmlns:a="http://schemas.openxmlformats.org/drawingml/2006/main">
                <a:ext uri="{FF2B5EF4-FFF2-40B4-BE49-F238E27FC236}">
                  <a16:creationId xmlns:a16="http://schemas.microsoft.com/office/drawing/2014/main" id="{132AA132-5620-4981-A5D9-F183A9C34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942FD">
        <w:rPr>
          <w:noProof/>
        </w:rPr>
        <w:drawing>
          <wp:inline distT="0" distB="0" distL="0" distR="0" wp14:anchorId="6B128A24" wp14:editId="758ECF4D">
            <wp:extent cx="2628000" cy="2268000"/>
            <wp:effectExtent l="57150" t="38100" r="172720" b="189865"/>
            <wp:docPr id="208" name="Chart 208" descr="Bar chart: Scotland S167 Grade. Shows substantial increase in the number of authorities with or intending to have a S167 list, and decrease in the number of authorities who are undecided or have decided not to have a list.">
              <a:extLst xmlns:a="http://schemas.openxmlformats.org/drawingml/2006/main">
                <a:ext uri="{FF2B5EF4-FFF2-40B4-BE49-F238E27FC236}">
                  <a16:creationId xmlns:a16="http://schemas.microsoft.com/office/drawing/2014/main" id="{D53AAF21-1C4B-4EA5-AD67-A112649AB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DB1B0A" w14:textId="44AF3DCD" w:rsidR="009942FD" w:rsidRDefault="009942FD" w:rsidP="003B52A0">
      <w:r>
        <w:rPr>
          <w:noProof/>
        </w:rPr>
        <w:drawing>
          <wp:inline distT="0" distB="0" distL="0" distR="0" wp14:anchorId="0E0FDB00" wp14:editId="02B3B430">
            <wp:extent cx="2628000" cy="2268000"/>
            <wp:effectExtent l="57150" t="38100" r="172720" b="189865"/>
            <wp:docPr id="209" name="Chart 209" descr="Bar chart: Wales S167 intent. April 2017 Yes: 32%. Nov 2017 Yes: 73%. May 2018 Yes: 77%.">
              <a:extLst xmlns:a="http://schemas.openxmlformats.org/drawingml/2006/main">
                <a:ext uri="{FF2B5EF4-FFF2-40B4-BE49-F238E27FC236}">
                  <a16:creationId xmlns:a16="http://schemas.microsoft.com/office/drawing/2014/main" id="{6AAEAE63-6F30-4B71-B990-1D1E931B0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289AAD47" wp14:editId="4314489D">
            <wp:extent cx="2628000" cy="2268000"/>
            <wp:effectExtent l="57150" t="38100" r="172720" b="189865"/>
            <wp:docPr id="210" name="Chart 210" descr="Bar chart: Wales S167 Grade. Shows substantial increase in the number of authorities with or intending to have a S167 list, and decrease in the number of authorities who are undecided or have decided not to have a list.">
              <a:extLst xmlns:a="http://schemas.openxmlformats.org/drawingml/2006/main">
                <a:ext uri="{FF2B5EF4-FFF2-40B4-BE49-F238E27FC236}">
                  <a16:creationId xmlns:a16="http://schemas.microsoft.com/office/drawing/2014/main" id="{7B87DA3B-B1AC-44AE-A187-E0D5C5804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620F6C" w14:textId="202C0924" w:rsidR="00957436" w:rsidRPr="00213BAA" w:rsidRDefault="00E52302" w:rsidP="00B477A2">
      <w:pPr>
        <w:pStyle w:val="Caption"/>
        <w:rPr>
          <w:sz w:val="28"/>
          <w:szCs w:val="28"/>
          <w:highlight w:val="lightGray"/>
        </w:rPr>
        <w:sectPr w:rsidR="00957436" w:rsidRPr="00213BAA" w:rsidSect="00214533">
          <w:footnotePr>
            <w:pos w:val="beneathText"/>
          </w:footnotePr>
          <w:pgSz w:w="11907" w:h="16840" w:code="9"/>
          <w:pgMar w:top="1440" w:right="1440" w:bottom="1440" w:left="1440" w:header="567" w:footer="646" w:gutter="0"/>
          <w:cols w:space="720"/>
          <w:noEndnote/>
          <w:titlePg/>
          <w:docGrid w:linePitch="360"/>
        </w:sectPr>
      </w:pPr>
      <w:bookmarkStart w:id="93" w:name="_Toc525407004"/>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7</w:t>
      </w:r>
      <w:r w:rsidR="00427FDC">
        <w:rPr>
          <w:noProof/>
        </w:rPr>
        <w:fldChar w:fldCharType="end"/>
      </w:r>
      <w:r>
        <w:t xml:space="preserve"> –Change in nations’ S167 implementation</w:t>
      </w:r>
      <w:bookmarkEnd w:id="90"/>
      <w:bookmarkEnd w:id="91"/>
      <w:bookmarkEnd w:id="93"/>
    </w:p>
    <w:p w14:paraId="1A9D0CC9" w14:textId="4F814EAC" w:rsidR="0030310A" w:rsidRDefault="0030310A" w:rsidP="0030310A">
      <w:pPr>
        <w:pStyle w:val="Heading2"/>
      </w:pPr>
      <w:bookmarkStart w:id="94" w:name="_Toc525413992"/>
      <w:bookmarkStart w:id="95" w:name="_Toc488088780"/>
      <w:bookmarkStart w:id="96" w:name="_Toc488093168"/>
      <w:r>
        <w:lastRenderedPageBreak/>
        <w:t>Reasons for not implementing S165/S167</w:t>
      </w:r>
      <w:bookmarkEnd w:id="94"/>
    </w:p>
    <w:p w14:paraId="3DF4CB3B" w14:textId="276CAA85" w:rsidR="00F73288" w:rsidRDefault="00F73288" w:rsidP="0030310A">
      <w:r>
        <w:t xml:space="preserve">The following </w:t>
      </w:r>
      <w:r w:rsidR="001207DE">
        <w:t>chart</w:t>
      </w:r>
      <w:r>
        <w:t xml:space="preserve"> lists the reasons volunteered by those councils who indicated reasons for failure to implement S167. NB: some councils gave more than one reason.</w:t>
      </w:r>
    </w:p>
    <w:p w14:paraId="203078F6" w14:textId="45D149D1" w:rsidR="00F73288" w:rsidRDefault="00053F8D" w:rsidP="0030310A">
      <w:r>
        <w:rPr>
          <w:noProof/>
        </w:rPr>
        <w:drawing>
          <wp:inline distT="0" distB="0" distL="0" distR="0" wp14:anchorId="0909AD9F" wp14:editId="7C328B32">
            <wp:extent cx="5732145" cy="3933825"/>
            <wp:effectExtent l="38100" t="57150" r="173355" b="180975"/>
            <wp:docPr id="3" name="Chart 3" descr="Bar chart: Authorities' reasons for not implementing S167. No decision: 26. Narrative reason: 9. Existing regulation: 9. Resources: 8. Few/ No WAV: 7. No obligation: 7. No complaints: 6. All Accessible: 3. Contracts Only: 2.">
              <a:extLst xmlns:a="http://schemas.openxmlformats.org/drawingml/2006/main">
                <a:ext uri="{FF2B5EF4-FFF2-40B4-BE49-F238E27FC236}">
                  <a16:creationId xmlns:a16="http://schemas.microsoft.com/office/drawing/2014/main" id="{F587B4B6-4AAB-41C6-A7C0-598106663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9084" w:type="dxa"/>
        <w:tblLook w:val="04A0" w:firstRow="1" w:lastRow="0" w:firstColumn="1" w:lastColumn="0" w:noHBand="0" w:noVBand="1"/>
      </w:tblPr>
      <w:tblGrid>
        <w:gridCol w:w="348"/>
        <w:gridCol w:w="976"/>
        <w:gridCol w:w="976"/>
        <w:gridCol w:w="6676"/>
        <w:gridCol w:w="272"/>
      </w:tblGrid>
      <w:tr w:rsidR="00053F8D" w:rsidRPr="00053F8D" w14:paraId="7B736F2B" w14:textId="77777777" w:rsidTr="00053F8D">
        <w:trPr>
          <w:trHeight w:val="90"/>
        </w:trPr>
        <w:tc>
          <w:tcPr>
            <w:tcW w:w="348" w:type="dxa"/>
            <w:tcBorders>
              <w:top w:val="single" w:sz="12" w:space="0" w:color="auto"/>
              <w:left w:val="single" w:sz="12" w:space="0" w:color="auto"/>
              <w:bottom w:val="nil"/>
              <w:right w:val="nil"/>
            </w:tcBorders>
            <w:shd w:val="clear" w:color="FFFFCC" w:fill="FFFFFF"/>
            <w:noWrap/>
            <w:vAlign w:val="bottom"/>
            <w:hideMark/>
          </w:tcPr>
          <w:p w14:paraId="3881FB6D"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976" w:type="dxa"/>
            <w:tcBorders>
              <w:top w:val="single" w:sz="12" w:space="0" w:color="auto"/>
              <w:left w:val="nil"/>
              <w:bottom w:val="nil"/>
              <w:right w:val="nil"/>
            </w:tcBorders>
            <w:shd w:val="clear" w:color="FFFFCC" w:fill="FFFFFF"/>
            <w:noWrap/>
            <w:vAlign w:val="bottom"/>
            <w:hideMark/>
          </w:tcPr>
          <w:p w14:paraId="6D974E66"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976" w:type="dxa"/>
            <w:tcBorders>
              <w:top w:val="single" w:sz="12" w:space="0" w:color="auto"/>
              <w:left w:val="nil"/>
              <w:bottom w:val="nil"/>
              <w:right w:val="nil"/>
            </w:tcBorders>
            <w:shd w:val="clear" w:color="FFFFCC" w:fill="FFFFFF"/>
            <w:noWrap/>
            <w:vAlign w:val="bottom"/>
            <w:hideMark/>
          </w:tcPr>
          <w:p w14:paraId="60A79C09"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6676" w:type="dxa"/>
            <w:tcBorders>
              <w:top w:val="single" w:sz="12" w:space="0" w:color="auto"/>
              <w:left w:val="nil"/>
              <w:bottom w:val="nil"/>
              <w:right w:val="nil"/>
            </w:tcBorders>
            <w:shd w:val="clear" w:color="FFFFCC" w:fill="FFFFFF"/>
            <w:noWrap/>
            <w:vAlign w:val="bottom"/>
            <w:hideMark/>
          </w:tcPr>
          <w:p w14:paraId="1919DE36"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08" w:type="dxa"/>
            <w:tcBorders>
              <w:top w:val="single" w:sz="12" w:space="0" w:color="auto"/>
              <w:left w:val="nil"/>
              <w:bottom w:val="nil"/>
              <w:right w:val="single" w:sz="12" w:space="0" w:color="auto"/>
            </w:tcBorders>
            <w:shd w:val="clear" w:color="FFFFCC" w:fill="FFFFFF"/>
            <w:noWrap/>
            <w:vAlign w:val="bottom"/>
            <w:hideMark/>
          </w:tcPr>
          <w:p w14:paraId="106E8866"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6A2D03B3" w14:textId="77777777" w:rsidTr="00053F8D">
        <w:trPr>
          <w:trHeight w:val="255"/>
        </w:trPr>
        <w:tc>
          <w:tcPr>
            <w:tcW w:w="348" w:type="dxa"/>
            <w:tcBorders>
              <w:top w:val="nil"/>
              <w:left w:val="single" w:sz="12" w:space="0" w:color="auto"/>
              <w:bottom w:val="nil"/>
              <w:right w:val="nil"/>
            </w:tcBorders>
            <w:shd w:val="clear" w:color="FFFFCC" w:fill="FFFFFF"/>
            <w:noWrap/>
            <w:vAlign w:val="bottom"/>
            <w:hideMark/>
          </w:tcPr>
          <w:p w14:paraId="167CB4B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noWrap/>
            <w:vAlign w:val="bottom"/>
            <w:hideMark/>
          </w:tcPr>
          <w:p w14:paraId="492DA021" w14:textId="77777777" w:rsidR="00053F8D" w:rsidRPr="00053F8D" w:rsidRDefault="00053F8D" w:rsidP="00053F8D">
            <w:pPr>
              <w:spacing w:after="0" w:line="240" w:lineRule="auto"/>
              <w:ind w:firstLineChars="100" w:firstLine="201"/>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LEGEND</w:t>
            </w:r>
          </w:p>
        </w:tc>
        <w:tc>
          <w:tcPr>
            <w:tcW w:w="6676" w:type="dxa"/>
            <w:tcBorders>
              <w:top w:val="nil"/>
              <w:left w:val="nil"/>
              <w:bottom w:val="nil"/>
              <w:right w:val="nil"/>
            </w:tcBorders>
            <w:shd w:val="clear" w:color="FFFFCC" w:fill="FFFFFF"/>
            <w:noWrap/>
            <w:vAlign w:val="bottom"/>
            <w:hideMark/>
          </w:tcPr>
          <w:p w14:paraId="7664EF0C"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08" w:type="dxa"/>
            <w:tcBorders>
              <w:top w:val="nil"/>
              <w:left w:val="nil"/>
              <w:bottom w:val="nil"/>
              <w:right w:val="single" w:sz="12" w:space="0" w:color="auto"/>
            </w:tcBorders>
            <w:shd w:val="clear" w:color="FFFFCC" w:fill="FFFFFF"/>
            <w:noWrap/>
            <w:vAlign w:val="bottom"/>
            <w:hideMark/>
          </w:tcPr>
          <w:p w14:paraId="19339021"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77064065" w14:textId="77777777" w:rsidTr="00053F8D">
        <w:trPr>
          <w:trHeight w:val="555"/>
        </w:trPr>
        <w:tc>
          <w:tcPr>
            <w:tcW w:w="348" w:type="dxa"/>
            <w:tcBorders>
              <w:top w:val="nil"/>
              <w:left w:val="single" w:sz="12" w:space="0" w:color="auto"/>
              <w:bottom w:val="nil"/>
              <w:right w:val="nil"/>
            </w:tcBorders>
            <w:shd w:val="clear" w:color="FFFFCC" w:fill="FFFFFF"/>
            <w:noWrap/>
            <w:vAlign w:val="bottom"/>
            <w:hideMark/>
          </w:tcPr>
          <w:p w14:paraId="5BF3CF54"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3365B989"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No Decision</w:t>
            </w:r>
          </w:p>
        </w:tc>
        <w:tc>
          <w:tcPr>
            <w:tcW w:w="6676" w:type="dxa"/>
            <w:tcBorders>
              <w:top w:val="nil"/>
              <w:left w:val="nil"/>
              <w:bottom w:val="nil"/>
              <w:right w:val="nil"/>
            </w:tcBorders>
            <w:shd w:val="clear" w:color="FFFFCC" w:fill="FFFFFF"/>
            <w:vAlign w:val="center"/>
            <w:hideMark/>
          </w:tcPr>
          <w:p w14:paraId="608B8573" w14:textId="7D24C40D" w:rsidR="00053F8D" w:rsidRPr="00053F8D" w:rsidRDefault="00053F8D" w:rsidP="00053F8D">
            <w:pPr>
              <w:spacing w:after="0" w:line="240" w:lineRule="auto"/>
              <w:jc w:val="lef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Have not</w:t>
            </w:r>
            <w:r w:rsidRPr="00053F8D">
              <w:rPr>
                <w:rFonts w:ascii="Arial" w:eastAsia="Times New Roman" w:hAnsi="Arial" w:cs="Arial"/>
                <w:color w:val="000000"/>
                <w:sz w:val="20"/>
                <w:szCs w:val="20"/>
                <w:lang w:eastAsia="en-GB"/>
              </w:rPr>
              <w:t xml:space="preserve"> reach</w:t>
            </w:r>
            <w:r>
              <w:rPr>
                <w:rFonts w:ascii="Arial" w:eastAsia="Times New Roman" w:hAnsi="Arial" w:cs="Arial"/>
                <w:color w:val="000000"/>
                <w:sz w:val="20"/>
                <w:szCs w:val="20"/>
                <w:lang w:eastAsia="en-GB"/>
              </w:rPr>
              <w:t>ed</w:t>
            </w:r>
            <w:r w:rsidRPr="00053F8D">
              <w:rPr>
                <w:rFonts w:ascii="Arial" w:eastAsia="Times New Roman" w:hAnsi="Arial" w:cs="Arial"/>
                <w:color w:val="000000"/>
                <w:sz w:val="20"/>
                <w:szCs w:val="20"/>
                <w:lang w:eastAsia="en-GB"/>
              </w:rPr>
              <w:t xml:space="preserve"> a decision as to </w:t>
            </w:r>
            <w:r w:rsidR="00453B75" w:rsidRPr="00053F8D">
              <w:rPr>
                <w:rFonts w:ascii="Arial" w:eastAsia="Times New Roman" w:hAnsi="Arial" w:cs="Arial"/>
                <w:color w:val="000000"/>
                <w:sz w:val="20"/>
                <w:szCs w:val="20"/>
                <w:lang w:eastAsia="en-GB"/>
              </w:rPr>
              <w:t>whether</w:t>
            </w:r>
            <w:r w:rsidRPr="00053F8D">
              <w:rPr>
                <w:rFonts w:ascii="Arial" w:eastAsia="Times New Roman" w:hAnsi="Arial" w:cs="Arial"/>
                <w:color w:val="000000"/>
                <w:sz w:val="20"/>
                <w:szCs w:val="20"/>
                <w:lang w:eastAsia="en-GB"/>
              </w:rPr>
              <w:t xml:space="preserve"> to implement the legislation.</w:t>
            </w:r>
          </w:p>
        </w:tc>
        <w:tc>
          <w:tcPr>
            <w:tcW w:w="108" w:type="dxa"/>
            <w:tcBorders>
              <w:top w:val="nil"/>
              <w:left w:val="nil"/>
              <w:bottom w:val="nil"/>
              <w:right w:val="single" w:sz="12" w:space="0" w:color="auto"/>
            </w:tcBorders>
            <w:shd w:val="clear" w:color="FFFFCC" w:fill="FFFFFF"/>
            <w:noWrap/>
            <w:vAlign w:val="bottom"/>
            <w:hideMark/>
          </w:tcPr>
          <w:p w14:paraId="638B6DF5"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012A0CD6" w14:textId="77777777" w:rsidTr="00053F8D">
        <w:trPr>
          <w:trHeight w:val="330"/>
        </w:trPr>
        <w:tc>
          <w:tcPr>
            <w:tcW w:w="348" w:type="dxa"/>
            <w:tcBorders>
              <w:top w:val="nil"/>
              <w:left w:val="single" w:sz="12" w:space="0" w:color="auto"/>
              <w:bottom w:val="nil"/>
              <w:right w:val="nil"/>
            </w:tcBorders>
            <w:shd w:val="clear" w:color="FFFFCC" w:fill="FFFFFF"/>
            <w:noWrap/>
            <w:vAlign w:val="bottom"/>
            <w:hideMark/>
          </w:tcPr>
          <w:p w14:paraId="45E14E3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6F8260A1"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Narrative Reason</w:t>
            </w:r>
          </w:p>
        </w:tc>
        <w:tc>
          <w:tcPr>
            <w:tcW w:w="6676" w:type="dxa"/>
            <w:tcBorders>
              <w:top w:val="nil"/>
              <w:left w:val="nil"/>
              <w:bottom w:val="nil"/>
              <w:right w:val="nil"/>
            </w:tcBorders>
            <w:shd w:val="clear" w:color="FFFFCC" w:fill="FFFFFF"/>
            <w:vAlign w:val="center"/>
            <w:hideMark/>
          </w:tcPr>
          <w:p w14:paraId="77C1F9B8"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Gave complex or non-categorisable reasons.</w:t>
            </w:r>
          </w:p>
        </w:tc>
        <w:tc>
          <w:tcPr>
            <w:tcW w:w="108" w:type="dxa"/>
            <w:tcBorders>
              <w:top w:val="nil"/>
              <w:left w:val="nil"/>
              <w:bottom w:val="nil"/>
              <w:right w:val="single" w:sz="12" w:space="0" w:color="auto"/>
            </w:tcBorders>
            <w:shd w:val="clear" w:color="FFFFCC" w:fill="FFFFFF"/>
            <w:noWrap/>
            <w:vAlign w:val="bottom"/>
            <w:hideMark/>
          </w:tcPr>
          <w:p w14:paraId="67960426"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1E841591" w14:textId="77777777" w:rsidTr="00053F8D">
        <w:trPr>
          <w:trHeight w:val="555"/>
        </w:trPr>
        <w:tc>
          <w:tcPr>
            <w:tcW w:w="348" w:type="dxa"/>
            <w:tcBorders>
              <w:top w:val="nil"/>
              <w:left w:val="single" w:sz="12" w:space="0" w:color="auto"/>
              <w:bottom w:val="nil"/>
              <w:right w:val="nil"/>
            </w:tcBorders>
            <w:shd w:val="clear" w:color="FFFFCC" w:fill="FFFFFF"/>
            <w:noWrap/>
            <w:vAlign w:val="bottom"/>
            <w:hideMark/>
          </w:tcPr>
          <w:p w14:paraId="453B17DA"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070EE330"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Existing Regulation</w:t>
            </w:r>
          </w:p>
        </w:tc>
        <w:tc>
          <w:tcPr>
            <w:tcW w:w="6676" w:type="dxa"/>
            <w:tcBorders>
              <w:top w:val="nil"/>
              <w:left w:val="nil"/>
              <w:bottom w:val="nil"/>
              <w:right w:val="nil"/>
            </w:tcBorders>
            <w:shd w:val="clear" w:color="FFFFCC" w:fill="FFFFFF"/>
            <w:vAlign w:val="center"/>
            <w:hideMark/>
          </w:tcPr>
          <w:p w14:paraId="612E50F9"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Considers their existing taxi regulations sufficient to deal with discriminatory practice.</w:t>
            </w:r>
          </w:p>
        </w:tc>
        <w:tc>
          <w:tcPr>
            <w:tcW w:w="108" w:type="dxa"/>
            <w:tcBorders>
              <w:top w:val="nil"/>
              <w:left w:val="nil"/>
              <w:bottom w:val="nil"/>
              <w:right w:val="single" w:sz="12" w:space="0" w:color="auto"/>
            </w:tcBorders>
            <w:shd w:val="clear" w:color="FFFFCC" w:fill="FFFFFF"/>
            <w:noWrap/>
            <w:vAlign w:val="bottom"/>
            <w:hideMark/>
          </w:tcPr>
          <w:p w14:paraId="48E54490"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412A4EE7" w14:textId="77777777" w:rsidTr="00053F8D">
        <w:trPr>
          <w:trHeight w:val="330"/>
        </w:trPr>
        <w:tc>
          <w:tcPr>
            <w:tcW w:w="348" w:type="dxa"/>
            <w:tcBorders>
              <w:top w:val="nil"/>
              <w:left w:val="single" w:sz="12" w:space="0" w:color="auto"/>
              <w:bottom w:val="nil"/>
              <w:right w:val="nil"/>
            </w:tcBorders>
            <w:shd w:val="clear" w:color="FFFFCC" w:fill="FFFFFF"/>
            <w:noWrap/>
            <w:vAlign w:val="bottom"/>
            <w:hideMark/>
          </w:tcPr>
          <w:p w14:paraId="4C3C1991"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38ADAADD"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Resources</w:t>
            </w:r>
          </w:p>
        </w:tc>
        <w:tc>
          <w:tcPr>
            <w:tcW w:w="6676" w:type="dxa"/>
            <w:tcBorders>
              <w:top w:val="nil"/>
              <w:left w:val="nil"/>
              <w:bottom w:val="nil"/>
              <w:right w:val="nil"/>
            </w:tcBorders>
            <w:shd w:val="clear" w:color="FFFFCC" w:fill="FFFFFF"/>
            <w:vAlign w:val="center"/>
            <w:hideMark/>
          </w:tcPr>
          <w:p w14:paraId="7980BC4B"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Unable to allocate sufficient staff time etc. to implement a list.</w:t>
            </w:r>
          </w:p>
        </w:tc>
        <w:tc>
          <w:tcPr>
            <w:tcW w:w="108" w:type="dxa"/>
            <w:tcBorders>
              <w:top w:val="nil"/>
              <w:left w:val="nil"/>
              <w:bottom w:val="nil"/>
              <w:right w:val="single" w:sz="12" w:space="0" w:color="auto"/>
            </w:tcBorders>
            <w:shd w:val="clear" w:color="FFFFCC" w:fill="FFFFFF"/>
            <w:noWrap/>
            <w:vAlign w:val="bottom"/>
            <w:hideMark/>
          </w:tcPr>
          <w:p w14:paraId="5AC48B8C"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041C2BB6" w14:textId="77777777" w:rsidTr="00053F8D">
        <w:trPr>
          <w:trHeight w:val="330"/>
        </w:trPr>
        <w:tc>
          <w:tcPr>
            <w:tcW w:w="348" w:type="dxa"/>
            <w:tcBorders>
              <w:top w:val="nil"/>
              <w:left w:val="single" w:sz="12" w:space="0" w:color="auto"/>
              <w:bottom w:val="nil"/>
              <w:right w:val="nil"/>
            </w:tcBorders>
            <w:shd w:val="clear" w:color="FFFFCC" w:fill="FFFFFF"/>
            <w:noWrap/>
            <w:vAlign w:val="bottom"/>
            <w:hideMark/>
          </w:tcPr>
          <w:p w14:paraId="0F21D3FB"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1FCDF26B"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Few / No WAV</w:t>
            </w:r>
          </w:p>
        </w:tc>
        <w:tc>
          <w:tcPr>
            <w:tcW w:w="6676" w:type="dxa"/>
            <w:tcBorders>
              <w:top w:val="nil"/>
              <w:left w:val="nil"/>
              <w:bottom w:val="nil"/>
              <w:right w:val="nil"/>
            </w:tcBorders>
            <w:shd w:val="clear" w:color="FFFFCC" w:fill="FFFFFF"/>
            <w:vAlign w:val="center"/>
            <w:hideMark/>
          </w:tcPr>
          <w:p w14:paraId="3AD9A91F"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Has very few or no wheelchair accessible taxis</w:t>
            </w:r>
          </w:p>
        </w:tc>
        <w:tc>
          <w:tcPr>
            <w:tcW w:w="108" w:type="dxa"/>
            <w:tcBorders>
              <w:top w:val="nil"/>
              <w:left w:val="nil"/>
              <w:bottom w:val="nil"/>
              <w:right w:val="single" w:sz="12" w:space="0" w:color="auto"/>
            </w:tcBorders>
            <w:shd w:val="clear" w:color="FFFFCC" w:fill="FFFFFF"/>
            <w:noWrap/>
            <w:vAlign w:val="bottom"/>
            <w:hideMark/>
          </w:tcPr>
          <w:p w14:paraId="4B39D138"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1EE45EDE" w14:textId="77777777" w:rsidTr="00053F8D">
        <w:trPr>
          <w:trHeight w:val="555"/>
        </w:trPr>
        <w:tc>
          <w:tcPr>
            <w:tcW w:w="348" w:type="dxa"/>
            <w:tcBorders>
              <w:top w:val="nil"/>
              <w:left w:val="single" w:sz="12" w:space="0" w:color="auto"/>
              <w:bottom w:val="nil"/>
              <w:right w:val="nil"/>
            </w:tcBorders>
            <w:shd w:val="clear" w:color="FFFFCC" w:fill="FFFFFF"/>
            <w:noWrap/>
            <w:vAlign w:val="bottom"/>
            <w:hideMark/>
          </w:tcPr>
          <w:p w14:paraId="47C59AD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02D20D04"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No Obligation</w:t>
            </w:r>
          </w:p>
        </w:tc>
        <w:tc>
          <w:tcPr>
            <w:tcW w:w="6676" w:type="dxa"/>
            <w:tcBorders>
              <w:top w:val="nil"/>
              <w:left w:val="nil"/>
              <w:bottom w:val="nil"/>
              <w:right w:val="nil"/>
            </w:tcBorders>
            <w:shd w:val="clear" w:color="FFFFCC" w:fill="FFFFFF"/>
            <w:vAlign w:val="center"/>
            <w:hideMark/>
          </w:tcPr>
          <w:p w14:paraId="4F49FCF0"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Not implementing the legislation because there is no legal obligation on them to do so.</w:t>
            </w:r>
          </w:p>
        </w:tc>
        <w:tc>
          <w:tcPr>
            <w:tcW w:w="108" w:type="dxa"/>
            <w:tcBorders>
              <w:top w:val="nil"/>
              <w:left w:val="nil"/>
              <w:bottom w:val="nil"/>
              <w:right w:val="single" w:sz="12" w:space="0" w:color="auto"/>
            </w:tcBorders>
            <w:shd w:val="clear" w:color="FFFFCC" w:fill="FFFFFF"/>
            <w:noWrap/>
            <w:vAlign w:val="bottom"/>
            <w:hideMark/>
          </w:tcPr>
          <w:p w14:paraId="64795CA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6B20496F" w14:textId="77777777" w:rsidTr="00053F8D">
        <w:trPr>
          <w:trHeight w:val="555"/>
        </w:trPr>
        <w:tc>
          <w:tcPr>
            <w:tcW w:w="348" w:type="dxa"/>
            <w:tcBorders>
              <w:top w:val="nil"/>
              <w:left w:val="single" w:sz="12" w:space="0" w:color="auto"/>
              <w:bottom w:val="nil"/>
              <w:right w:val="nil"/>
            </w:tcBorders>
            <w:shd w:val="clear" w:color="FFFFCC" w:fill="FFFFFF"/>
            <w:noWrap/>
            <w:vAlign w:val="bottom"/>
            <w:hideMark/>
          </w:tcPr>
          <w:p w14:paraId="3A18293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4BF1F028"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No Complaints</w:t>
            </w:r>
          </w:p>
        </w:tc>
        <w:tc>
          <w:tcPr>
            <w:tcW w:w="6676" w:type="dxa"/>
            <w:tcBorders>
              <w:top w:val="nil"/>
              <w:left w:val="nil"/>
              <w:bottom w:val="nil"/>
              <w:right w:val="nil"/>
            </w:tcBorders>
            <w:shd w:val="clear" w:color="FFFFCC" w:fill="FFFFFF"/>
            <w:vAlign w:val="center"/>
            <w:hideMark/>
          </w:tcPr>
          <w:p w14:paraId="1B970BD2"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Having received no complaints about taxi wheelchair user discrimination considers implementation unnecessary</w:t>
            </w:r>
          </w:p>
        </w:tc>
        <w:tc>
          <w:tcPr>
            <w:tcW w:w="108" w:type="dxa"/>
            <w:tcBorders>
              <w:top w:val="nil"/>
              <w:left w:val="nil"/>
              <w:bottom w:val="nil"/>
              <w:right w:val="single" w:sz="12" w:space="0" w:color="auto"/>
            </w:tcBorders>
            <w:shd w:val="clear" w:color="FFFFCC" w:fill="FFFFFF"/>
            <w:noWrap/>
            <w:vAlign w:val="bottom"/>
            <w:hideMark/>
          </w:tcPr>
          <w:p w14:paraId="0CAD303D"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22D2E112" w14:textId="77777777" w:rsidTr="00053F8D">
        <w:trPr>
          <w:trHeight w:val="555"/>
        </w:trPr>
        <w:tc>
          <w:tcPr>
            <w:tcW w:w="348" w:type="dxa"/>
            <w:tcBorders>
              <w:top w:val="nil"/>
              <w:left w:val="single" w:sz="12" w:space="0" w:color="auto"/>
              <w:bottom w:val="nil"/>
              <w:right w:val="nil"/>
            </w:tcBorders>
            <w:shd w:val="clear" w:color="FFFFCC" w:fill="FFFFFF"/>
            <w:noWrap/>
            <w:vAlign w:val="bottom"/>
            <w:hideMark/>
          </w:tcPr>
          <w:p w14:paraId="50AE06C8"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3F471061"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All Accessible</w:t>
            </w:r>
          </w:p>
        </w:tc>
        <w:tc>
          <w:tcPr>
            <w:tcW w:w="6676" w:type="dxa"/>
            <w:tcBorders>
              <w:top w:val="nil"/>
              <w:left w:val="nil"/>
              <w:bottom w:val="nil"/>
              <w:right w:val="nil"/>
            </w:tcBorders>
            <w:shd w:val="clear" w:color="FFFFCC" w:fill="FFFFFF"/>
            <w:vAlign w:val="center"/>
            <w:hideMark/>
          </w:tcPr>
          <w:p w14:paraId="244C3E65"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Considers implementation unnecessary because all taxis are wheelchair accessible</w:t>
            </w:r>
          </w:p>
        </w:tc>
        <w:tc>
          <w:tcPr>
            <w:tcW w:w="108" w:type="dxa"/>
            <w:tcBorders>
              <w:top w:val="nil"/>
              <w:left w:val="nil"/>
              <w:bottom w:val="nil"/>
              <w:right w:val="single" w:sz="12" w:space="0" w:color="auto"/>
            </w:tcBorders>
            <w:shd w:val="clear" w:color="FFFFCC" w:fill="FFFFFF"/>
            <w:noWrap/>
            <w:vAlign w:val="bottom"/>
            <w:hideMark/>
          </w:tcPr>
          <w:p w14:paraId="1C026469"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5C32896F" w14:textId="77777777" w:rsidTr="00053F8D">
        <w:trPr>
          <w:trHeight w:val="555"/>
        </w:trPr>
        <w:tc>
          <w:tcPr>
            <w:tcW w:w="348" w:type="dxa"/>
            <w:tcBorders>
              <w:top w:val="nil"/>
              <w:left w:val="single" w:sz="12" w:space="0" w:color="auto"/>
              <w:bottom w:val="nil"/>
              <w:right w:val="nil"/>
            </w:tcBorders>
            <w:shd w:val="clear" w:color="FFFFCC" w:fill="FFFFFF"/>
            <w:noWrap/>
            <w:vAlign w:val="bottom"/>
            <w:hideMark/>
          </w:tcPr>
          <w:p w14:paraId="0F11299D"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952" w:type="dxa"/>
            <w:gridSpan w:val="2"/>
            <w:tcBorders>
              <w:top w:val="nil"/>
              <w:left w:val="nil"/>
              <w:bottom w:val="nil"/>
              <w:right w:val="nil"/>
            </w:tcBorders>
            <w:shd w:val="clear" w:color="FFFFCC" w:fill="FFFFFF"/>
            <w:vAlign w:val="center"/>
            <w:hideMark/>
          </w:tcPr>
          <w:p w14:paraId="207616BF" w14:textId="77777777" w:rsidR="00053F8D" w:rsidRPr="00053F8D" w:rsidRDefault="00053F8D" w:rsidP="00053F8D">
            <w:pPr>
              <w:spacing w:after="0" w:line="240" w:lineRule="auto"/>
              <w:jc w:val="center"/>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Contracts Only</w:t>
            </w:r>
          </w:p>
        </w:tc>
        <w:tc>
          <w:tcPr>
            <w:tcW w:w="6676" w:type="dxa"/>
            <w:tcBorders>
              <w:top w:val="nil"/>
              <w:left w:val="nil"/>
              <w:bottom w:val="nil"/>
              <w:right w:val="nil"/>
            </w:tcBorders>
            <w:shd w:val="clear" w:color="FFFFCC" w:fill="FFFFFF"/>
            <w:vAlign w:val="center"/>
            <w:hideMark/>
          </w:tcPr>
          <w:p w14:paraId="6D536564" w14:textId="77777777" w:rsidR="00053F8D" w:rsidRPr="00053F8D" w:rsidRDefault="00053F8D" w:rsidP="00053F8D">
            <w:pPr>
              <w:spacing w:after="0" w:line="240" w:lineRule="auto"/>
              <w:jc w:val="left"/>
              <w:rPr>
                <w:rFonts w:ascii="Arial" w:eastAsia="Times New Roman" w:hAnsi="Arial" w:cs="Arial"/>
                <w:color w:val="000000"/>
                <w:sz w:val="20"/>
                <w:szCs w:val="20"/>
                <w:lang w:eastAsia="en-GB"/>
              </w:rPr>
            </w:pPr>
            <w:r w:rsidRPr="00053F8D">
              <w:rPr>
                <w:rFonts w:ascii="Arial" w:eastAsia="Times New Roman" w:hAnsi="Arial" w:cs="Arial"/>
                <w:color w:val="000000"/>
                <w:sz w:val="20"/>
                <w:szCs w:val="20"/>
                <w:lang w:eastAsia="en-GB"/>
              </w:rPr>
              <w:t>All wheelchair accessible taxis in the area are used for Council etc. contracts, unavailable to the public so considered unnecessary</w:t>
            </w:r>
          </w:p>
        </w:tc>
        <w:tc>
          <w:tcPr>
            <w:tcW w:w="108" w:type="dxa"/>
            <w:tcBorders>
              <w:top w:val="nil"/>
              <w:left w:val="nil"/>
              <w:bottom w:val="nil"/>
              <w:right w:val="single" w:sz="12" w:space="0" w:color="auto"/>
            </w:tcBorders>
            <w:shd w:val="clear" w:color="FFFFCC" w:fill="FFFFFF"/>
            <w:noWrap/>
            <w:vAlign w:val="bottom"/>
            <w:hideMark/>
          </w:tcPr>
          <w:p w14:paraId="33659C86"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r w:rsidR="00053F8D" w:rsidRPr="00053F8D" w14:paraId="6EEE0C04" w14:textId="77777777" w:rsidTr="00053F8D">
        <w:trPr>
          <w:trHeight w:val="75"/>
        </w:trPr>
        <w:tc>
          <w:tcPr>
            <w:tcW w:w="348" w:type="dxa"/>
            <w:tcBorders>
              <w:top w:val="nil"/>
              <w:left w:val="single" w:sz="12" w:space="0" w:color="auto"/>
              <w:bottom w:val="single" w:sz="12" w:space="0" w:color="auto"/>
              <w:right w:val="nil"/>
            </w:tcBorders>
            <w:shd w:val="clear" w:color="FFFFCC" w:fill="FFFFFF"/>
            <w:noWrap/>
            <w:vAlign w:val="bottom"/>
            <w:hideMark/>
          </w:tcPr>
          <w:p w14:paraId="19CF4F7A"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976" w:type="dxa"/>
            <w:tcBorders>
              <w:top w:val="nil"/>
              <w:left w:val="nil"/>
              <w:bottom w:val="single" w:sz="12" w:space="0" w:color="auto"/>
              <w:right w:val="nil"/>
            </w:tcBorders>
            <w:shd w:val="clear" w:color="FFFFCC" w:fill="FFFFFF"/>
            <w:noWrap/>
            <w:vAlign w:val="bottom"/>
            <w:hideMark/>
          </w:tcPr>
          <w:p w14:paraId="4128C13B"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976" w:type="dxa"/>
            <w:tcBorders>
              <w:top w:val="nil"/>
              <w:left w:val="nil"/>
              <w:bottom w:val="single" w:sz="12" w:space="0" w:color="auto"/>
              <w:right w:val="nil"/>
            </w:tcBorders>
            <w:shd w:val="clear" w:color="FFFFCC" w:fill="FFFFFF"/>
            <w:noWrap/>
            <w:vAlign w:val="bottom"/>
            <w:hideMark/>
          </w:tcPr>
          <w:p w14:paraId="5389B9F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6676" w:type="dxa"/>
            <w:tcBorders>
              <w:top w:val="nil"/>
              <w:left w:val="nil"/>
              <w:bottom w:val="single" w:sz="12" w:space="0" w:color="auto"/>
              <w:right w:val="nil"/>
            </w:tcBorders>
            <w:shd w:val="clear" w:color="FFFFCC" w:fill="FFFFFF"/>
            <w:noWrap/>
            <w:vAlign w:val="bottom"/>
            <w:hideMark/>
          </w:tcPr>
          <w:p w14:paraId="65B02826"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c>
          <w:tcPr>
            <w:tcW w:w="108" w:type="dxa"/>
            <w:tcBorders>
              <w:top w:val="nil"/>
              <w:left w:val="nil"/>
              <w:bottom w:val="single" w:sz="12" w:space="0" w:color="auto"/>
              <w:right w:val="single" w:sz="12" w:space="0" w:color="auto"/>
            </w:tcBorders>
            <w:shd w:val="clear" w:color="FFFFCC" w:fill="FFFFFF"/>
            <w:noWrap/>
            <w:vAlign w:val="bottom"/>
            <w:hideMark/>
          </w:tcPr>
          <w:p w14:paraId="32011777" w14:textId="77777777" w:rsidR="00053F8D" w:rsidRPr="00053F8D" w:rsidRDefault="00053F8D" w:rsidP="00053F8D">
            <w:pPr>
              <w:spacing w:after="0" w:line="240" w:lineRule="auto"/>
              <w:jc w:val="left"/>
              <w:rPr>
                <w:rFonts w:ascii="Arial" w:eastAsia="Times New Roman" w:hAnsi="Arial" w:cs="Arial"/>
                <w:b/>
                <w:bCs/>
                <w:color w:val="000000"/>
                <w:sz w:val="20"/>
                <w:szCs w:val="20"/>
                <w:lang w:eastAsia="en-GB"/>
              </w:rPr>
            </w:pPr>
            <w:r w:rsidRPr="00053F8D">
              <w:rPr>
                <w:rFonts w:ascii="Arial" w:eastAsia="Times New Roman" w:hAnsi="Arial" w:cs="Arial"/>
                <w:b/>
                <w:bCs/>
                <w:color w:val="000000"/>
                <w:sz w:val="20"/>
                <w:szCs w:val="20"/>
                <w:lang w:eastAsia="en-GB"/>
              </w:rPr>
              <w:t> </w:t>
            </w:r>
          </w:p>
        </w:tc>
      </w:tr>
    </w:tbl>
    <w:p w14:paraId="67B90FC1" w14:textId="40D2ECD9" w:rsidR="00F73288" w:rsidRPr="00F73288" w:rsidRDefault="00053F8D" w:rsidP="00053F8D">
      <w:pPr>
        <w:pStyle w:val="Caption"/>
      </w:pPr>
      <w:bookmarkStart w:id="97" w:name="_Toc525407005"/>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8</w:t>
      </w:r>
      <w:r w:rsidR="00427FDC">
        <w:rPr>
          <w:noProof/>
        </w:rPr>
        <w:fldChar w:fldCharType="end"/>
      </w:r>
      <w:r>
        <w:t xml:space="preserve"> – Reasons for failure to implement legislation</w:t>
      </w:r>
      <w:bookmarkEnd w:id="97"/>
    </w:p>
    <w:p w14:paraId="1F4FFF98" w14:textId="3EDFBAF0" w:rsidR="001207DE" w:rsidRDefault="0033734B" w:rsidP="001207DE">
      <w:pPr>
        <w:pStyle w:val="Heading2"/>
        <w:rPr>
          <w:spacing w:val="4"/>
        </w:rPr>
      </w:pPr>
      <w:bookmarkStart w:id="98" w:name="_Toc525413993"/>
      <w:r>
        <w:rPr>
          <w:spacing w:val="4"/>
        </w:rPr>
        <w:lastRenderedPageBreak/>
        <w:t>Compliance with Department for Transport Guidance</w:t>
      </w:r>
      <w:bookmarkEnd w:id="98"/>
    </w:p>
    <w:p w14:paraId="28135AC9" w14:textId="70F7EB1B" w:rsidR="001207DE" w:rsidRPr="001207DE" w:rsidRDefault="00110325" w:rsidP="001207DE">
      <w:r>
        <w:t>This shows whether licensing bodies have complied with the statutory guidance</w:t>
      </w:r>
      <w:r>
        <w:rPr>
          <w:rStyle w:val="EndnoteReference"/>
        </w:rPr>
        <w:endnoteReference w:id="9"/>
      </w:r>
      <w:r>
        <w:t xml:space="preserve"> issued by the Department for Transport when implementing a list under Section 167.</w:t>
      </w:r>
    </w:p>
    <w:p w14:paraId="4BD06661" w14:textId="33B934CE" w:rsidR="0033734B" w:rsidRPr="0033734B" w:rsidRDefault="001207DE" w:rsidP="0033734B">
      <w:r>
        <w:rPr>
          <w:noProof/>
        </w:rPr>
        <w:drawing>
          <wp:inline distT="0" distB="0" distL="0" distR="0" wp14:anchorId="632B8525" wp14:editId="3A12FE0B">
            <wp:extent cx="5732145" cy="3762375"/>
            <wp:effectExtent l="38100" t="57150" r="173355" b="180975"/>
            <wp:docPr id="5" name="Chart 5" descr="Chart: Authorities' approach to Department for Transport Statutory Guidance. Compliant List: 82%. Driver Guidance: 85%. Meter Policy: 46%. Ref Wch: 89%. Chair Size: Negligible. W/ch Transfer Lists: Negligible.">
              <a:extLst xmlns:a="http://schemas.openxmlformats.org/drawingml/2006/main">
                <a:ext uri="{FF2B5EF4-FFF2-40B4-BE49-F238E27FC236}">
                  <a16:creationId xmlns:a16="http://schemas.microsoft.com/office/drawing/2014/main" id="{99157209-8136-4244-9B69-571CAB0D8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9146" w:type="dxa"/>
        <w:tblLook w:val="04A0" w:firstRow="1" w:lastRow="0" w:firstColumn="1" w:lastColumn="0" w:noHBand="0" w:noVBand="1"/>
      </w:tblPr>
      <w:tblGrid>
        <w:gridCol w:w="335"/>
        <w:gridCol w:w="1204"/>
        <w:gridCol w:w="573"/>
        <w:gridCol w:w="6699"/>
        <w:gridCol w:w="335"/>
      </w:tblGrid>
      <w:tr w:rsidR="001207DE" w:rsidRPr="001207DE" w14:paraId="469AACB6" w14:textId="77777777" w:rsidTr="001207DE">
        <w:trPr>
          <w:trHeight w:val="50"/>
        </w:trPr>
        <w:tc>
          <w:tcPr>
            <w:tcW w:w="335" w:type="dxa"/>
            <w:tcBorders>
              <w:top w:val="single" w:sz="12" w:space="0" w:color="auto"/>
              <w:left w:val="single" w:sz="12" w:space="0" w:color="auto"/>
              <w:bottom w:val="nil"/>
              <w:right w:val="nil"/>
            </w:tcBorders>
            <w:shd w:val="clear" w:color="FFFFCC" w:fill="FFFFFF"/>
            <w:noWrap/>
            <w:vAlign w:val="bottom"/>
            <w:hideMark/>
          </w:tcPr>
          <w:p w14:paraId="40549917"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204" w:type="dxa"/>
            <w:tcBorders>
              <w:top w:val="single" w:sz="12" w:space="0" w:color="auto"/>
              <w:left w:val="nil"/>
              <w:bottom w:val="nil"/>
              <w:right w:val="nil"/>
            </w:tcBorders>
            <w:shd w:val="clear" w:color="FFFFCC" w:fill="FFFFFF"/>
            <w:noWrap/>
            <w:vAlign w:val="bottom"/>
            <w:hideMark/>
          </w:tcPr>
          <w:p w14:paraId="0881ECD0"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573" w:type="dxa"/>
            <w:tcBorders>
              <w:top w:val="single" w:sz="12" w:space="0" w:color="auto"/>
              <w:left w:val="nil"/>
              <w:bottom w:val="nil"/>
              <w:right w:val="nil"/>
            </w:tcBorders>
            <w:shd w:val="clear" w:color="FFFFCC" w:fill="FFFFFF"/>
            <w:noWrap/>
            <w:vAlign w:val="bottom"/>
            <w:hideMark/>
          </w:tcPr>
          <w:p w14:paraId="7B6698C9"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6699" w:type="dxa"/>
            <w:tcBorders>
              <w:top w:val="single" w:sz="12" w:space="0" w:color="auto"/>
              <w:left w:val="nil"/>
              <w:bottom w:val="nil"/>
              <w:right w:val="nil"/>
            </w:tcBorders>
            <w:shd w:val="clear" w:color="FFFFCC" w:fill="FFFFFF"/>
            <w:noWrap/>
            <w:vAlign w:val="bottom"/>
            <w:hideMark/>
          </w:tcPr>
          <w:p w14:paraId="2A006430"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335" w:type="dxa"/>
            <w:tcBorders>
              <w:top w:val="single" w:sz="12" w:space="0" w:color="auto"/>
              <w:left w:val="nil"/>
              <w:bottom w:val="nil"/>
              <w:right w:val="single" w:sz="12" w:space="0" w:color="auto"/>
            </w:tcBorders>
            <w:shd w:val="clear" w:color="FFFFCC" w:fill="FFFFFF"/>
            <w:noWrap/>
            <w:vAlign w:val="bottom"/>
            <w:hideMark/>
          </w:tcPr>
          <w:p w14:paraId="6C104101"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6B3B7684" w14:textId="77777777" w:rsidTr="001207DE">
        <w:trPr>
          <w:trHeight w:val="251"/>
        </w:trPr>
        <w:tc>
          <w:tcPr>
            <w:tcW w:w="335" w:type="dxa"/>
            <w:tcBorders>
              <w:top w:val="nil"/>
              <w:left w:val="single" w:sz="12" w:space="0" w:color="auto"/>
              <w:bottom w:val="nil"/>
              <w:right w:val="nil"/>
            </w:tcBorders>
            <w:shd w:val="clear" w:color="FFFFCC" w:fill="FFFFFF"/>
            <w:noWrap/>
            <w:vAlign w:val="bottom"/>
            <w:hideMark/>
          </w:tcPr>
          <w:p w14:paraId="36E0AAF1"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noWrap/>
            <w:vAlign w:val="bottom"/>
            <w:hideMark/>
          </w:tcPr>
          <w:p w14:paraId="640ABDCF" w14:textId="77777777" w:rsidR="001207DE" w:rsidRPr="001207DE" w:rsidRDefault="001207DE" w:rsidP="001207DE">
            <w:pPr>
              <w:spacing w:after="0" w:line="240" w:lineRule="auto"/>
              <w:ind w:firstLineChars="100" w:firstLine="201"/>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LEGEND</w:t>
            </w:r>
          </w:p>
        </w:tc>
        <w:tc>
          <w:tcPr>
            <w:tcW w:w="6699" w:type="dxa"/>
            <w:tcBorders>
              <w:top w:val="nil"/>
              <w:left w:val="nil"/>
              <w:bottom w:val="nil"/>
              <w:right w:val="nil"/>
            </w:tcBorders>
            <w:shd w:val="clear" w:color="FFFFCC" w:fill="FFFFFF"/>
            <w:noWrap/>
            <w:vAlign w:val="bottom"/>
            <w:hideMark/>
          </w:tcPr>
          <w:p w14:paraId="0B209B60"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335" w:type="dxa"/>
            <w:tcBorders>
              <w:top w:val="nil"/>
              <w:left w:val="nil"/>
              <w:bottom w:val="nil"/>
              <w:right w:val="single" w:sz="12" w:space="0" w:color="auto"/>
            </w:tcBorders>
            <w:shd w:val="clear" w:color="FFFFCC" w:fill="FFFFFF"/>
            <w:noWrap/>
            <w:vAlign w:val="bottom"/>
            <w:hideMark/>
          </w:tcPr>
          <w:p w14:paraId="7CF557EF"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1C5599C7" w14:textId="77777777" w:rsidTr="001207DE">
        <w:trPr>
          <w:trHeight w:val="651"/>
        </w:trPr>
        <w:tc>
          <w:tcPr>
            <w:tcW w:w="335" w:type="dxa"/>
            <w:tcBorders>
              <w:top w:val="nil"/>
              <w:left w:val="single" w:sz="12" w:space="0" w:color="auto"/>
              <w:bottom w:val="nil"/>
              <w:right w:val="nil"/>
            </w:tcBorders>
            <w:shd w:val="clear" w:color="FFFFCC" w:fill="FFFFFF"/>
            <w:noWrap/>
            <w:vAlign w:val="bottom"/>
            <w:hideMark/>
          </w:tcPr>
          <w:p w14:paraId="633E882F"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vAlign w:val="center"/>
            <w:hideMark/>
          </w:tcPr>
          <w:p w14:paraId="70FB5201" w14:textId="77777777" w:rsidR="001207DE" w:rsidRPr="001207DE" w:rsidRDefault="001207DE" w:rsidP="001207DE">
            <w:pPr>
              <w:spacing w:after="0" w:line="240" w:lineRule="auto"/>
              <w:jc w:val="center"/>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xml:space="preserve">Compliant List </w:t>
            </w:r>
          </w:p>
        </w:tc>
        <w:tc>
          <w:tcPr>
            <w:tcW w:w="6699" w:type="dxa"/>
            <w:tcBorders>
              <w:top w:val="nil"/>
              <w:left w:val="nil"/>
              <w:bottom w:val="nil"/>
              <w:right w:val="nil"/>
            </w:tcBorders>
            <w:shd w:val="clear" w:color="FFFFCC" w:fill="FFFFFF"/>
            <w:vAlign w:val="center"/>
            <w:hideMark/>
          </w:tcPr>
          <w:p w14:paraId="7485F5E2" w14:textId="77777777" w:rsidR="001207DE" w:rsidRPr="001207DE" w:rsidRDefault="001207DE" w:rsidP="001207DE">
            <w:pPr>
              <w:spacing w:after="0" w:line="240" w:lineRule="auto"/>
              <w:jc w:val="left"/>
              <w:rPr>
                <w:rFonts w:ascii="Arial" w:eastAsia="Times New Roman" w:hAnsi="Arial" w:cs="Arial"/>
                <w:color w:val="000000"/>
                <w:sz w:val="20"/>
                <w:szCs w:val="20"/>
                <w:lang w:eastAsia="en-GB"/>
              </w:rPr>
            </w:pPr>
            <w:r w:rsidRPr="001207DE">
              <w:rPr>
                <w:rFonts w:ascii="Arial" w:eastAsia="Times New Roman" w:hAnsi="Arial" w:cs="Arial"/>
                <w:color w:val="000000"/>
                <w:sz w:val="20"/>
                <w:szCs w:val="20"/>
                <w:lang w:eastAsia="en-GB"/>
              </w:rPr>
              <w:t>S167 list complies with the technical requirements set out in S3.10 of the guidance.</w:t>
            </w:r>
          </w:p>
        </w:tc>
        <w:tc>
          <w:tcPr>
            <w:tcW w:w="335" w:type="dxa"/>
            <w:tcBorders>
              <w:top w:val="nil"/>
              <w:left w:val="nil"/>
              <w:bottom w:val="nil"/>
              <w:right w:val="single" w:sz="12" w:space="0" w:color="auto"/>
            </w:tcBorders>
            <w:shd w:val="clear" w:color="FFFFCC" w:fill="FFFFFF"/>
            <w:noWrap/>
            <w:vAlign w:val="bottom"/>
            <w:hideMark/>
          </w:tcPr>
          <w:p w14:paraId="5236D351"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4F92610E" w14:textId="77777777" w:rsidTr="001207DE">
        <w:trPr>
          <w:trHeight w:val="191"/>
        </w:trPr>
        <w:tc>
          <w:tcPr>
            <w:tcW w:w="335" w:type="dxa"/>
            <w:tcBorders>
              <w:top w:val="nil"/>
              <w:left w:val="single" w:sz="12" w:space="0" w:color="auto"/>
              <w:bottom w:val="nil"/>
              <w:right w:val="nil"/>
            </w:tcBorders>
            <w:shd w:val="clear" w:color="FFFFCC" w:fill="FFFFFF"/>
            <w:noWrap/>
            <w:vAlign w:val="bottom"/>
            <w:hideMark/>
          </w:tcPr>
          <w:p w14:paraId="1AF9287C"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vAlign w:val="center"/>
            <w:hideMark/>
          </w:tcPr>
          <w:p w14:paraId="6392D192" w14:textId="77777777" w:rsidR="001207DE" w:rsidRPr="001207DE" w:rsidRDefault="001207DE" w:rsidP="001207DE">
            <w:pPr>
              <w:spacing w:after="0" w:line="240" w:lineRule="auto"/>
              <w:jc w:val="center"/>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xml:space="preserve">Ref Wch </w:t>
            </w:r>
          </w:p>
        </w:tc>
        <w:tc>
          <w:tcPr>
            <w:tcW w:w="6699" w:type="dxa"/>
            <w:tcBorders>
              <w:top w:val="nil"/>
              <w:left w:val="nil"/>
              <w:bottom w:val="nil"/>
              <w:right w:val="nil"/>
            </w:tcBorders>
            <w:shd w:val="clear" w:color="FFFFCC" w:fill="FFFFFF"/>
            <w:vAlign w:val="center"/>
            <w:hideMark/>
          </w:tcPr>
          <w:p w14:paraId="127EB48B" w14:textId="77777777" w:rsidR="001207DE" w:rsidRPr="001207DE" w:rsidRDefault="001207DE" w:rsidP="001207DE">
            <w:pPr>
              <w:spacing w:after="0" w:line="240" w:lineRule="auto"/>
              <w:jc w:val="left"/>
              <w:rPr>
                <w:rFonts w:ascii="Arial" w:eastAsia="Times New Roman" w:hAnsi="Arial" w:cs="Arial"/>
                <w:color w:val="000000"/>
                <w:sz w:val="20"/>
                <w:szCs w:val="20"/>
                <w:lang w:eastAsia="en-GB"/>
              </w:rPr>
            </w:pPr>
            <w:r w:rsidRPr="001207DE">
              <w:rPr>
                <w:rFonts w:ascii="Arial" w:eastAsia="Times New Roman" w:hAnsi="Arial" w:cs="Arial"/>
                <w:color w:val="000000"/>
                <w:sz w:val="20"/>
                <w:szCs w:val="20"/>
                <w:lang w:eastAsia="en-GB"/>
              </w:rPr>
              <w:t>List is of vehicles which can accept the standard "reference wheelchair"</w:t>
            </w:r>
          </w:p>
        </w:tc>
        <w:tc>
          <w:tcPr>
            <w:tcW w:w="335" w:type="dxa"/>
            <w:tcBorders>
              <w:top w:val="nil"/>
              <w:left w:val="nil"/>
              <w:bottom w:val="nil"/>
              <w:right w:val="single" w:sz="12" w:space="0" w:color="auto"/>
            </w:tcBorders>
            <w:shd w:val="clear" w:color="FFFFCC" w:fill="FFFFFF"/>
            <w:noWrap/>
            <w:vAlign w:val="bottom"/>
            <w:hideMark/>
          </w:tcPr>
          <w:p w14:paraId="21E0FE8E"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7AFB89DD" w14:textId="77777777" w:rsidTr="001207DE">
        <w:trPr>
          <w:trHeight w:val="651"/>
        </w:trPr>
        <w:tc>
          <w:tcPr>
            <w:tcW w:w="335" w:type="dxa"/>
            <w:tcBorders>
              <w:top w:val="nil"/>
              <w:left w:val="single" w:sz="12" w:space="0" w:color="auto"/>
              <w:bottom w:val="nil"/>
              <w:right w:val="nil"/>
            </w:tcBorders>
            <w:shd w:val="clear" w:color="FFFFCC" w:fill="FFFFFF"/>
            <w:noWrap/>
            <w:vAlign w:val="bottom"/>
            <w:hideMark/>
          </w:tcPr>
          <w:p w14:paraId="3DA23D43"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vAlign w:val="center"/>
            <w:hideMark/>
          </w:tcPr>
          <w:p w14:paraId="141511C1" w14:textId="77777777" w:rsidR="001207DE" w:rsidRPr="001207DE" w:rsidRDefault="001207DE" w:rsidP="001207DE">
            <w:pPr>
              <w:spacing w:after="0" w:line="240" w:lineRule="auto"/>
              <w:jc w:val="center"/>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xml:space="preserve">Chair Size </w:t>
            </w:r>
          </w:p>
        </w:tc>
        <w:tc>
          <w:tcPr>
            <w:tcW w:w="6699" w:type="dxa"/>
            <w:tcBorders>
              <w:top w:val="nil"/>
              <w:left w:val="nil"/>
              <w:bottom w:val="nil"/>
              <w:right w:val="nil"/>
            </w:tcBorders>
            <w:shd w:val="clear" w:color="FFFFCC" w:fill="FFFFFF"/>
            <w:vAlign w:val="center"/>
            <w:hideMark/>
          </w:tcPr>
          <w:p w14:paraId="0756C77F" w14:textId="77777777" w:rsidR="001207DE" w:rsidRPr="001207DE" w:rsidRDefault="001207DE" w:rsidP="001207DE">
            <w:pPr>
              <w:spacing w:after="0" w:line="240" w:lineRule="auto"/>
              <w:jc w:val="left"/>
              <w:rPr>
                <w:rFonts w:ascii="Arial" w:eastAsia="Times New Roman" w:hAnsi="Arial" w:cs="Arial"/>
                <w:color w:val="000000"/>
                <w:sz w:val="20"/>
                <w:szCs w:val="20"/>
                <w:lang w:eastAsia="en-GB"/>
              </w:rPr>
            </w:pPr>
            <w:r w:rsidRPr="001207DE">
              <w:rPr>
                <w:rFonts w:ascii="Arial" w:eastAsia="Times New Roman" w:hAnsi="Arial" w:cs="Arial"/>
                <w:color w:val="000000"/>
                <w:sz w:val="20"/>
                <w:szCs w:val="20"/>
                <w:lang w:eastAsia="en-GB"/>
              </w:rPr>
              <w:t>List includes details on what sizes of chair each vehicle can take other than the "reference wheelchair"</w:t>
            </w:r>
          </w:p>
        </w:tc>
        <w:tc>
          <w:tcPr>
            <w:tcW w:w="335" w:type="dxa"/>
            <w:tcBorders>
              <w:top w:val="nil"/>
              <w:left w:val="nil"/>
              <w:bottom w:val="nil"/>
              <w:right w:val="single" w:sz="12" w:space="0" w:color="auto"/>
            </w:tcBorders>
            <w:shd w:val="clear" w:color="FFFFCC" w:fill="FFFFFF"/>
            <w:noWrap/>
            <w:vAlign w:val="bottom"/>
            <w:hideMark/>
          </w:tcPr>
          <w:p w14:paraId="27301753"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4787A005" w14:textId="77777777" w:rsidTr="001207DE">
        <w:trPr>
          <w:trHeight w:val="651"/>
        </w:trPr>
        <w:tc>
          <w:tcPr>
            <w:tcW w:w="335" w:type="dxa"/>
            <w:tcBorders>
              <w:top w:val="nil"/>
              <w:left w:val="single" w:sz="12" w:space="0" w:color="auto"/>
              <w:bottom w:val="nil"/>
              <w:right w:val="nil"/>
            </w:tcBorders>
            <w:shd w:val="clear" w:color="FFFFCC" w:fill="FFFFFF"/>
            <w:noWrap/>
            <w:vAlign w:val="bottom"/>
            <w:hideMark/>
          </w:tcPr>
          <w:p w14:paraId="1EE4E4C3"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vAlign w:val="center"/>
            <w:hideMark/>
          </w:tcPr>
          <w:p w14:paraId="4E28E1E2" w14:textId="77777777" w:rsidR="001207DE" w:rsidRPr="001207DE" w:rsidRDefault="001207DE" w:rsidP="001207DE">
            <w:pPr>
              <w:spacing w:after="0" w:line="240" w:lineRule="auto"/>
              <w:jc w:val="center"/>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xml:space="preserve">Driver Guidance </w:t>
            </w:r>
          </w:p>
        </w:tc>
        <w:tc>
          <w:tcPr>
            <w:tcW w:w="6699" w:type="dxa"/>
            <w:tcBorders>
              <w:top w:val="nil"/>
              <w:left w:val="nil"/>
              <w:bottom w:val="nil"/>
              <w:right w:val="nil"/>
            </w:tcBorders>
            <w:shd w:val="clear" w:color="FFFFCC" w:fill="FFFFFF"/>
            <w:vAlign w:val="center"/>
            <w:hideMark/>
          </w:tcPr>
          <w:p w14:paraId="116E7B2A" w14:textId="77777777" w:rsidR="001207DE" w:rsidRPr="001207DE" w:rsidRDefault="001207DE" w:rsidP="001207DE">
            <w:pPr>
              <w:spacing w:after="0" w:line="240" w:lineRule="auto"/>
              <w:jc w:val="left"/>
              <w:rPr>
                <w:rFonts w:ascii="Arial" w:eastAsia="Times New Roman" w:hAnsi="Arial" w:cs="Arial"/>
                <w:color w:val="000000"/>
                <w:sz w:val="20"/>
                <w:szCs w:val="20"/>
                <w:lang w:eastAsia="en-GB"/>
              </w:rPr>
            </w:pPr>
            <w:r w:rsidRPr="001207DE">
              <w:rPr>
                <w:rFonts w:ascii="Arial" w:eastAsia="Times New Roman" w:hAnsi="Arial" w:cs="Arial"/>
                <w:color w:val="000000"/>
                <w:sz w:val="20"/>
                <w:szCs w:val="20"/>
                <w:lang w:eastAsia="en-GB"/>
              </w:rPr>
              <w:t>Body issued drivers with guidance as to their legal obligations towards wheelchair users</w:t>
            </w:r>
          </w:p>
        </w:tc>
        <w:tc>
          <w:tcPr>
            <w:tcW w:w="335" w:type="dxa"/>
            <w:tcBorders>
              <w:top w:val="nil"/>
              <w:left w:val="nil"/>
              <w:bottom w:val="nil"/>
              <w:right w:val="single" w:sz="12" w:space="0" w:color="auto"/>
            </w:tcBorders>
            <w:shd w:val="clear" w:color="FFFFCC" w:fill="FFFFFF"/>
            <w:noWrap/>
            <w:vAlign w:val="bottom"/>
            <w:hideMark/>
          </w:tcPr>
          <w:p w14:paraId="5677A87D"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45AB34CB" w14:textId="77777777" w:rsidTr="001207DE">
        <w:trPr>
          <w:trHeight w:val="651"/>
        </w:trPr>
        <w:tc>
          <w:tcPr>
            <w:tcW w:w="335" w:type="dxa"/>
            <w:tcBorders>
              <w:top w:val="nil"/>
              <w:left w:val="single" w:sz="12" w:space="0" w:color="auto"/>
              <w:bottom w:val="nil"/>
              <w:right w:val="nil"/>
            </w:tcBorders>
            <w:shd w:val="clear" w:color="FFFFCC" w:fill="FFFFFF"/>
            <w:noWrap/>
            <w:vAlign w:val="bottom"/>
            <w:hideMark/>
          </w:tcPr>
          <w:p w14:paraId="3912CD23"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vAlign w:val="center"/>
            <w:hideMark/>
          </w:tcPr>
          <w:p w14:paraId="21549215" w14:textId="77777777" w:rsidR="001207DE" w:rsidRPr="001207DE" w:rsidRDefault="001207DE" w:rsidP="001207DE">
            <w:pPr>
              <w:spacing w:after="0" w:line="240" w:lineRule="auto"/>
              <w:jc w:val="center"/>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Meter Policy</w:t>
            </w:r>
          </w:p>
        </w:tc>
        <w:tc>
          <w:tcPr>
            <w:tcW w:w="6699" w:type="dxa"/>
            <w:tcBorders>
              <w:top w:val="nil"/>
              <w:left w:val="nil"/>
              <w:bottom w:val="nil"/>
              <w:right w:val="nil"/>
            </w:tcBorders>
            <w:shd w:val="clear" w:color="FFFFCC" w:fill="FFFFFF"/>
            <w:vAlign w:val="center"/>
            <w:hideMark/>
          </w:tcPr>
          <w:p w14:paraId="4474E55A" w14:textId="77777777" w:rsidR="001207DE" w:rsidRPr="001207DE" w:rsidRDefault="001207DE" w:rsidP="001207DE">
            <w:pPr>
              <w:spacing w:after="0" w:line="240" w:lineRule="auto"/>
              <w:jc w:val="left"/>
              <w:rPr>
                <w:rFonts w:ascii="Arial" w:eastAsia="Times New Roman" w:hAnsi="Arial" w:cs="Arial"/>
                <w:color w:val="000000"/>
                <w:sz w:val="20"/>
                <w:szCs w:val="20"/>
                <w:lang w:eastAsia="en-GB"/>
              </w:rPr>
            </w:pPr>
            <w:r w:rsidRPr="001207DE">
              <w:rPr>
                <w:rFonts w:ascii="Arial" w:eastAsia="Times New Roman" w:hAnsi="Arial" w:cs="Arial"/>
                <w:color w:val="000000"/>
                <w:sz w:val="20"/>
                <w:szCs w:val="20"/>
                <w:lang w:eastAsia="en-GB"/>
              </w:rPr>
              <w:t>Body issued guidance on when to start the meter when loading a wheelchair user</w:t>
            </w:r>
          </w:p>
        </w:tc>
        <w:tc>
          <w:tcPr>
            <w:tcW w:w="335" w:type="dxa"/>
            <w:tcBorders>
              <w:top w:val="nil"/>
              <w:left w:val="nil"/>
              <w:bottom w:val="nil"/>
              <w:right w:val="single" w:sz="12" w:space="0" w:color="auto"/>
            </w:tcBorders>
            <w:shd w:val="clear" w:color="FFFFCC" w:fill="FFFFFF"/>
            <w:noWrap/>
            <w:vAlign w:val="bottom"/>
            <w:hideMark/>
          </w:tcPr>
          <w:p w14:paraId="538F909A"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35F26751" w14:textId="77777777" w:rsidTr="001207DE">
        <w:trPr>
          <w:trHeight w:val="651"/>
        </w:trPr>
        <w:tc>
          <w:tcPr>
            <w:tcW w:w="335" w:type="dxa"/>
            <w:tcBorders>
              <w:top w:val="nil"/>
              <w:left w:val="single" w:sz="12" w:space="0" w:color="auto"/>
              <w:bottom w:val="nil"/>
              <w:right w:val="nil"/>
            </w:tcBorders>
            <w:shd w:val="clear" w:color="FFFFCC" w:fill="FFFFFF"/>
            <w:noWrap/>
            <w:vAlign w:val="bottom"/>
            <w:hideMark/>
          </w:tcPr>
          <w:p w14:paraId="54152936"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777" w:type="dxa"/>
            <w:gridSpan w:val="2"/>
            <w:tcBorders>
              <w:top w:val="nil"/>
              <w:left w:val="nil"/>
              <w:bottom w:val="nil"/>
              <w:right w:val="nil"/>
            </w:tcBorders>
            <w:shd w:val="clear" w:color="FFFFCC" w:fill="FFFFFF"/>
            <w:vAlign w:val="center"/>
            <w:hideMark/>
          </w:tcPr>
          <w:p w14:paraId="4ADAD1CF" w14:textId="77777777" w:rsidR="001207DE" w:rsidRPr="001207DE" w:rsidRDefault="001207DE" w:rsidP="001207DE">
            <w:pPr>
              <w:spacing w:after="0" w:line="240" w:lineRule="auto"/>
              <w:jc w:val="center"/>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xml:space="preserve">W/ch Transfer Lists </w:t>
            </w:r>
          </w:p>
        </w:tc>
        <w:tc>
          <w:tcPr>
            <w:tcW w:w="6699" w:type="dxa"/>
            <w:tcBorders>
              <w:top w:val="nil"/>
              <w:left w:val="nil"/>
              <w:bottom w:val="nil"/>
              <w:right w:val="nil"/>
            </w:tcBorders>
            <w:shd w:val="clear" w:color="FFFFCC" w:fill="FFFFFF"/>
            <w:vAlign w:val="center"/>
            <w:hideMark/>
          </w:tcPr>
          <w:p w14:paraId="47AFE032" w14:textId="77777777" w:rsidR="001207DE" w:rsidRPr="001207DE" w:rsidRDefault="001207DE" w:rsidP="001207DE">
            <w:pPr>
              <w:spacing w:after="0" w:line="240" w:lineRule="auto"/>
              <w:jc w:val="left"/>
              <w:rPr>
                <w:rFonts w:ascii="Arial" w:eastAsia="Times New Roman" w:hAnsi="Arial" w:cs="Arial"/>
                <w:color w:val="000000"/>
                <w:sz w:val="20"/>
                <w:szCs w:val="20"/>
                <w:lang w:eastAsia="en-GB"/>
              </w:rPr>
            </w:pPr>
            <w:r w:rsidRPr="001207DE">
              <w:rPr>
                <w:rFonts w:ascii="Arial" w:eastAsia="Times New Roman" w:hAnsi="Arial" w:cs="Arial"/>
                <w:color w:val="000000"/>
                <w:sz w:val="20"/>
                <w:szCs w:val="20"/>
                <w:lang w:eastAsia="en-GB"/>
              </w:rPr>
              <w:t>Body has a list of vehicles accessible to wheelchair users able to transfer to a seat</w:t>
            </w:r>
          </w:p>
        </w:tc>
        <w:tc>
          <w:tcPr>
            <w:tcW w:w="335" w:type="dxa"/>
            <w:tcBorders>
              <w:top w:val="nil"/>
              <w:left w:val="nil"/>
              <w:bottom w:val="nil"/>
              <w:right w:val="single" w:sz="12" w:space="0" w:color="auto"/>
            </w:tcBorders>
            <w:shd w:val="clear" w:color="FFFFCC" w:fill="FFFFFF"/>
            <w:noWrap/>
            <w:vAlign w:val="bottom"/>
            <w:hideMark/>
          </w:tcPr>
          <w:p w14:paraId="4138AA84"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r w:rsidR="001207DE" w:rsidRPr="001207DE" w14:paraId="16D9FE55" w14:textId="77777777" w:rsidTr="001207DE">
        <w:trPr>
          <w:trHeight w:val="80"/>
        </w:trPr>
        <w:tc>
          <w:tcPr>
            <w:tcW w:w="335" w:type="dxa"/>
            <w:tcBorders>
              <w:top w:val="nil"/>
              <w:left w:val="single" w:sz="12" w:space="0" w:color="auto"/>
              <w:bottom w:val="single" w:sz="12" w:space="0" w:color="auto"/>
              <w:right w:val="nil"/>
            </w:tcBorders>
            <w:shd w:val="clear" w:color="FFFFCC" w:fill="FFFFFF"/>
            <w:noWrap/>
            <w:vAlign w:val="bottom"/>
            <w:hideMark/>
          </w:tcPr>
          <w:p w14:paraId="2F724E57"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1204" w:type="dxa"/>
            <w:tcBorders>
              <w:top w:val="nil"/>
              <w:left w:val="nil"/>
              <w:bottom w:val="single" w:sz="12" w:space="0" w:color="auto"/>
              <w:right w:val="nil"/>
            </w:tcBorders>
            <w:shd w:val="clear" w:color="FFFFCC" w:fill="FFFFFF"/>
            <w:noWrap/>
            <w:vAlign w:val="bottom"/>
            <w:hideMark/>
          </w:tcPr>
          <w:p w14:paraId="4F34371F"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573" w:type="dxa"/>
            <w:tcBorders>
              <w:top w:val="nil"/>
              <w:left w:val="nil"/>
              <w:bottom w:val="single" w:sz="12" w:space="0" w:color="auto"/>
              <w:right w:val="nil"/>
            </w:tcBorders>
            <w:shd w:val="clear" w:color="FFFFCC" w:fill="FFFFFF"/>
            <w:noWrap/>
            <w:vAlign w:val="bottom"/>
            <w:hideMark/>
          </w:tcPr>
          <w:p w14:paraId="21338019"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6699" w:type="dxa"/>
            <w:tcBorders>
              <w:top w:val="nil"/>
              <w:left w:val="nil"/>
              <w:bottom w:val="single" w:sz="12" w:space="0" w:color="auto"/>
              <w:right w:val="nil"/>
            </w:tcBorders>
            <w:shd w:val="clear" w:color="FFFFCC" w:fill="FFFFFF"/>
            <w:noWrap/>
            <w:vAlign w:val="bottom"/>
            <w:hideMark/>
          </w:tcPr>
          <w:p w14:paraId="4FC5FEC5"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c>
          <w:tcPr>
            <w:tcW w:w="335" w:type="dxa"/>
            <w:tcBorders>
              <w:top w:val="nil"/>
              <w:left w:val="nil"/>
              <w:bottom w:val="single" w:sz="12" w:space="0" w:color="auto"/>
              <w:right w:val="single" w:sz="12" w:space="0" w:color="auto"/>
            </w:tcBorders>
            <w:shd w:val="clear" w:color="FFFFCC" w:fill="FFFFFF"/>
            <w:noWrap/>
            <w:vAlign w:val="bottom"/>
            <w:hideMark/>
          </w:tcPr>
          <w:p w14:paraId="79CBB48A" w14:textId="77777777" w:rsidR="001207DE" w:rsidRPr="001207DE" w:rsidRDefault="001207DE" w:rsidP="001207DE">
            <w:pPr>
              <w:spacing w:after="0" w:line="240" w:lineRule="auto"/>
              <w:jc w:val="left"/>
              <w:rPr>
                <w:rFonts w:ascii="Arial" w:eastAsia="Times New Roman" w:hAnsi="Arial" w:cs="Arial"/>
                <w:b/>
                <w:bCs/>
                <w:color w:val="000000"/>
                <w:sz w:val="20"/>
                <w:szCs w:val="20"/>
                <w:lang w:eastAsia="en-GB"/>
              </w:rPr>
            </w:pPr>
            <w:r w:rsidRPr="001207DE">
              <w:rPr>
                <w:rFonts w:ascii="Arial" w:eastAsia="Times New Roman" w:hAnsi="Arial" w:cs="Arial"/>
                <w:b/>
                <w:bCs/>
                <w:color w:val="000000"/>
                <w:sz w:val="20"/>
                <w:szCs w:val="20"/>
                <w:lang w:eastAsia="en-GB"/>
              </w:rPr>
              <w:t> </w:t>
            </w:r>
          </w:p>
        </w:tc>
      </w:tr>
    </w:tbl>
    <w:p w14:paraId="0567C1D8" w14:textId="0B975773" w:rsidR="00110325" w:rsidRDefault="004414B3" w:rsidP="004414B3">
      <w:pPr>
        <w:pStyle w:val="Caption"/>
      </w:pPr>
      <w:bookmarkStart w:id="99" w:name="_Toc525407006"/>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9</w:t>
      </w:r>
      <w:r w:rsidR="00427FDC">
        <w:rPr>
          <w:noProof/>
        </w:rPr>
        <w:fldChar w:fldCharType="end"/>
      </w:r>
      <w:r>
        <w:t xml:space="preserve"> – Authorities’ Approach to Department for Transport Statutory Guidance</w:t>
      </w:r>
      <w:bookmarkEnd w:id="99"/>
    </w:p>
    <w:p w14:paraId="38B49E9A" w14:textId="77777777" w:rsidR="00D60FCE" w:rsidRDefault="00D60FCE" w:rsidP="00C91E1D"/>
    <w:p w14:paraId="55328474" w14:textId="15AD697D" w:rsidR="00C91E1D" w:rsidRPr="00C91E1D" w:rsidRDefault="00C91E1D" w:rsidP="00C91E1D">
      <w:r>
        <w:t>No licensing body has complied with all elements of the statutory guidance.</w:t>
      </w:r>
    </w:p>
    <w:p w14:paraId="25131006" w14:textId="675A836E" w:rsidR="00110325" w:rsidRDefault="00110325">
      <w:pPr>
        <w:spacing w:after="0" w:line="240" w:lineRule="auto"/>
        <w:jc w:val="left"/>
        <w:rPr>
          <w:b/>
          <w:bCs/>
          <w:i/>
          <w:spacing w:val="4"/>
          <w:sz w:val="28"/>
          <w:szCs w:val="28"/>
        </w:rPr>
      </w:pPr>
      <w:r>
        <w:rPr>
          <w:spacing w:val="4"/>
        </w:rPr>
        <w:br w:type="page"/>
      </w:r>
    </w:p>
    <w:p w14:paraId="1670F738" w14:textId="69936F61" w:rsidR="00110325" w:rsidRDefault="004414B3" w:rsidP="00D84D25">
      <w:pPr>
        <w:pStyle w:val="Heading2"/>
        <w:rPr>
          <w:spacing w:val="4"/>
        </w:rPr>
      </w:pPr>
      <w:bookmarkStart w:id="100" w:name="_Toc525413994"/>
      <w:r>
        <w:rPr>
          <w:spacing w:val="4"/>
        </w:rPr>
        <w:lastRenderedPageBreak/>
        <w:t>Medical Exemptions under S166</w:t>
      </w:r>
      <w:bookmarkEnd w:id="100"/>
    </w:p>
    <w:p w14:paraId="5824B8A0" w14:textId="53A2DD1D" w:rsidR="00A1269C" w:rsidRDefault="00A1269C" w:rsidP="00A1269C">
      <w:r>
        <w:rPr>
          <w:noProof/>
        </w:rPr>
        <w:drawing>
          <wp:inline distT="0" distB="0" distL="0" distR="0" wp14:anchorId="686C0DDF" wp14:editId="05A8AFA9">
            <wp:extent cx="2571750" cy="3343275"/>
            <wp:effectExtent l="57150" t="57150" r="190500" b="180975"/>
            <wp:docPr id="6" name="Chart 6" descr="Pie Chart: Medical Exemptions per Authority with S167 list. 0: 75%. 1: 9%. &lt;5: 8%. &lt;10: 3%. &lt;50: 2%. &gt;50: 3%.">
              <a:extLst xmlns:a="http://schemas.openxmlformats.org/drawingml/2006/main">
                <a:ext uri="{FF2B5EF4-FFF2-40B4-BE49-F238E27FC236}">
                  <a16:creationId xmlns:a16="http://schemas.microsoft.com/office/drawing/2014/main" id="{A6EB8E5D-EDD5-4385-B943-996D5615C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C5846">
        <w:rPr>
          <w:noProof/>
        </w:rPr>
        <w:drawing>
          <wp:inline distT="0" distB="0" distL="0" distR="0" wp14:anchorId="49ECE618" wp14:editId="28A67043">
            <wp:extent cx="2647950" cy="3333750"/>
            <wp:effectExtent l="57150" t="57150" r="190500" b="190500"/>
            <wp:docPr id="7" name="Chart 7" descr="Pie chart: Exemptions per Accessible Taxi per authority. 0: 75%. &lt;0.1: 20%. &lt;0.25: 3%. &lt;0.5: 1%. &gt;=1: 1%.">
              <a:extLst xmlns:a="http://schemas.openxmlformats.org/drawingml/2006/main">
                <a:ext uri="{FF2B5EF4-FFF2-40B4-BE49-F238E27FC236}">
                  <a16:creationId xmlns:a16="http://schemas.microsoft.com/office/drawing/2014/main" id="{E0F38BC4-4F82-46EE-8F60-946B97414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097B60" w14:textId="0CB88B30" w:rsidR="00DC5846" w:rsidRDefault="00DC5846" w:rsidP="00DC5846">
      <w:pPr>
        <w:pStyle w:val="Caption"/>
      </w:pPr>
      <w:bookmarkStart w:id="101" w:name="_Toc525407007"/>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10</w:t>
      </w:r>
      <w:r w:rsidR="00427FDC">
        <w:rPr>
          <w:noProof/>
        </w:rPr>
        <w:fldChar w:fldCharType="end"/>
      </w:r>
      <w:r>
        <w:t xml:space="preserve"> – Medical Exemptions per Authority and per Accessible Taxi</w:t>
      </w:r>
      <w:bookmarkEnd w:id="101"/>
    </w:p>
    <w:p w14:paraId="7CF607E6" w14:textId="3CEB74FB" w:rsidR="00DC5846" w:rsidRDefault="00DC5846" w:rsidP="00DC5846">
      <w:r>
        <w:t>Most authorities with S167 lists have few drivers with a medical exemption from the requirement</w:t>
      </w:r>
      <w:r w:rsidR="00AD7172">
        <w:t>s not to discriminate against</w:t>
      </w:r>
      <w:r>
        <w:t xml:space="preserve"> wheelchair users. 95% have fewer than 10 such drivers. </w:t>
      </w:r>
      <w:r w:rsidR="00453B75">
        <w:t>However,</w:t>
      </w:r>
      <w:r>
        <w:t xml:space="preserve"> there are notable exceptions. Edinburgh has 417 exempted drivers; more than four times as many as the next prevalent authority (Plymouth, with 85.) </w:t>
      </w:r>
    </w:p>
    <w:p w14:paraId="6CE1AD73" w14:textId="45456DE5" w:rsidR="00DC5846" w:rsidRDefault="00DC5846" w:rsidP="00DC5846">
      <w:r>
        <w:t xml:space="preserve">Edinburgh told me </w:t>
      </w:r>
      <w:r w:rsidR="009B519F">
        <w:t>in</w:t>
      </w:r>
      <w:r>
        <w:t xml:space="preserve"> response to my query about their large number</w:t>
      </w:r>
      <w:r w:rsidR="00081989">
        <w:t xml:space="preserve"> that it </w:t>
      </w:r>
      <w:r w:rsidR="00081989" w:rsidRPr="00081989">
        <w:rPr>
          <w:i/>
        </w:rPr>
        <w:t>“</w:t>
      </w:r>
      <w:r w:rsidRPr="00081989">
        <w:rPr>
          <w:i/>
        </w:rPr>
        <w:t>holds no recorded information that indicates why the number of exemptions granted by the Council would appear to be greater than other public authorities</w:t>
      </w:r>
      <w:r w:rsidR="00081989" w:rsidRPr="00081989">
        <w:rPr>
          <w:i/>
        </w:rPr>
        <w:t>.”</w:t>
      </w:r>
      <w:r w:rsidR="00081989" w:rsidRPr="00081989">
        <w:rPr>
          <w:rStyle w:val="EndnoteReference"/>
        </w:rPr>
        <w:endnoteReference w:id="10"/>
      </w:r>
      <w:r w:rsidR="00081989">
        <w:t xml:space="preserve"> Taunton Deane</w:t>
      </w:r>
      <w:r w:rsidR="00081989">
        <w:rPr>
          <w:rStyle w:val="EndnoteReference"/>
        </w:rPr>
        <w:endnoteReference w:id="11"/>
      </w:r>
      <w:r w:rsidR="00081989">
        <w:t xml:space="preserve"> and Plymouth</w:t>
      </w:r>
      <w:r w:rsidR="00C22900">
        <w:rPr>
          <w:rStyle w:val="EndnoteReference"/>
        </w:rPr>
        <w:endnoteReference w:id="12"/>
      </w:r>
      <w:r w:rsidR="00081989">
        <w:t xml:space="preserve">, who both had over 50 exemptions, told me they are unaware as to why so many drivers apply for exemptions. </w:t>
      </w:r>
    </w:p>
    <w:p w14:paraId="5977C314" w14:textId="5AF5310C" w:rsidR="00C22900" w:rsidRDefault="00C22900" w:rsidP="00DC5846">
      <w:r>
        <w:t xml:space="preserve">North East Lincolnshire council attribute their </w:t>
      </w:r>
      <w:r w:rsidR="00AD7172">
        <w:t>substantial number</w:t>
      </w:r>
      <w:r>
        <w:t xml:space="preserve"> of exemptions to their policy of permitting drivers with a medical exemption, to apply to drive a saloon instead of a wheelchair accessible taxi.</w:t>
      </w:r>
      <w:r>
        <w:rPr>
          <w:rStyle w:val="EndnoteReference"/>
        </w:rPr>
        <w:endnoteReference w:id="13"/>
      </w:r>
    </w:p>
    <w:p w14:paraId="70C11DE6" w14:textId="7C22DDCF" w:rsidR="00AA388F" w:rsidRDefault="00AD7172" w:rsidP="004414B3">
      <w:pPr>
        <w:sectPr w:rsidR="00AA388F" w:rsidSect="00AA388F">
          <w:footerReference w:type="default" r:id="rId48"/>
          <w:headerReference w:type="first" r:id="rId49"/>
          <w:footerReference w:type="first" r:id="rId50"/>
          <w:footnotePr>
            <w:pos w:val="beneathText"/>
          </w:footnotePr>
          <w:pgSz w:w="11907" w:h="16840" w:code="9"/>
          <w:pgMar w:top="1440" w:right="1440" w:bottom="1440" w:left="1440" w:header="567" w:footer="646" w:gutter="0"/>
          <w:cols w:space="720"/>
          <w:noEndnote/>
          <w:titlePg/>
          <w:docGrid w:linePitch="360"/>
        </w:sectPr>
      </w:pPr>
      <w:r>
        <w:t>In n</w:t>
      </w:r>
      <w:r w:rsidR="00C22900">
        <w:t xml:space="preserve">early all </w:t>
      </w:r>
      <w:r>
        <w:t xml:space="preserve">licensing bodies’ areas, </w:t>
      </w:r>
      <w:r w:rsidR="000559BA">
        <w:t xml:space="preserve">there are exempted drivers in </w:t>
      </w:r>
      <w:r w:rsidR="00C22900">
        <w:t xml:space="preserve">less than 10% of </w:t>
      </w:r>
      <w:r w:rsidR="000559BA">
        <w:t>accessible taxis.</w:t>
      </w:r>
      <w:r w:rsidR="00C22900">
        <w:t xml:space="preserve"> </w:t>
      </w:r>
      <w:r w:rsidR="009B519F">
        <w:t>Except</w:t>
      </w:r>
      <w:r w:rsidR="000559BA">
        <w:t>ing</w:t>
      </w:r>
      <w:r w:rsidR="009B519F">
        <w:t xml:space="preserve"> </w:t>
      </w:r>
      <w:r w:rsidR="00C22900">
        <w:t xml:space="preserve">North East Lincolnshire (whose exempted drivers are mostly no longer driving wheelchair accessible vehicles) and </w:t>
      </w:r>
      <w:r w:rsidR="000559BA">
        <w:t xml:space="preserve">East Hampshire (who only have </w:t>
      </w:r>
      <w:r w:rsidR="00A11CD1" w:rsidRPr="00D60FCE">
        <w:t>one</w:t>
      </w:r>
      <w:r w:rsidR="00A11CD1">
        <w:t xml:space="preserve"> </w:t>
      </w:r>
      <w:r w:rsidR="00C22900">
        <w:t>accessible taxi</w:t>
      </w:r>
      <w:r w:rsidR="000559BA">
        <w:t>, driven by an exempt driver</w:t>
      </w:r>
      <w:r w:rsidR="00C22900">
        <w:t>,</w:t>
      </w:r>
      <w:r w:rsidR="000559BA">
        <w:t>)</w:t>
      </w:r>
      <w:r w:rsidR="00C22900">
        <w:t xml:space="preserve"> four councils – Blackpool, Taunton Deane, City of Edinburgh and Torridge – have </w:t>
      </w:r>
      <w:r w:rsidR="00AA388F">
        <w:t xml:space="preserve">25% of accessible taxis with exempted drivers. </w:t>
      </w:r>
    </w:p>
    <w:p w14:paraId="26B19D7D" w14:textId="77777777" w:rsidR="00C6428D" w:rsidRDefault="00AA388F" w:rsidP="00AA388F">
      <w:pPr>
        <w:pStyle w:val="Caption"/>
      </w:pPr>
      <w:bookmarkStart w:id="102" w:name="_Toc525407011"/>
      <w:r>
        <w:rPr>
          <w:noProof/>
        </w:rPr>
        <w:lastRenderedPageBreak/>
        <w:drawing>
          <wp:inline distT="0" distB="0" distL="0" distR="0" wp14:anchorId="3757C2E0" wp14:editId="46CBAB11">
            <wp:extent cx="6329272" cy="8963025"/>
            <wp:effectExtent l="114300" t="114300" r="205105" b="200025"/>
            <wp:docPr id="8" name="Picture 6" descr="Map: Great Britain: Taxi medical exemptions issued under S166. Most of the country have 0 exemptions.">
              <a:extLst xmlns:a="http://schemas.openxmlformats.org/drawingml/2006/main">
                <a:ext uri="{FF2B5EF4-FFF2-40B4-BE49-F238E27FC236}">
                  <a16:creationId xmlns:a16="http://schemas.microsoft.com/office/drawing/2014/main" id="{3D1DCE74-50E2-40E8-9550-4F1013E63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D1DCE74-50E2-40E8-9550-4F1013E6394C}"/>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33245" cy="8968651"/>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2E32A77D" w14:textId="3A1BD9E6" w:rsidR="00AA388F" w:rsidRDefault="00AA388F" w:rsidP="00AA388F">
      <w:pPr>
        <w:pStyle w:val="Caption"/>
      </w:pPr>
      <w:r>
        <w:t xml:space="preserve">Map  </w:t>
      </w:r>
      <w:r w:rsidR="00427FDC">
        <w:rPr>
          <w:noProof/>
        </w:rPr>
        <w:fldChar w:fldCharType="begin"/>
      </w:r>
      <w:r w:rsidR="00427FDC">
        <w:rPr>
          <w:noProof/>
        </w:rPr>
        <w:instrText xml:space="preserve"> SEQ Map_ \* ARABIC </w:instrText>
      </w:r>
      <w:r w:rsidR="00427FDC">
        <w:rPr>
          <w:noProof/>
        </w:rPr>
        <w:fldChar w:fldCharType="separate"/>
      </w:r>
      <w:r w:rsidR="00247F48">
        <w:rPr>
          <w:noProof/>
        </w:rPr>
        <w:t>3</w:t>
      </w:r>
      <w:r w:rsidR="00427FDC">
        <w:rPr>
          <w:noProof/>
        </w:rPr>
        <w:fldChar w:fldCharType="end"/>
      </w:r>
      <w:r>
        <w:t xml:space="preserve"> – Taxi driver medical exemptions issued under S166</w:t>
      </w:r>
      <w:bookmarkEnd w:id="102"/>
    </w:p>
    <w:p w14:paraId="5FBEA3A8" w14:textId="29539036" w:rsidR="00AA388F" w:rsidRDefault="00AA388F" w:rsidP="00AA388F">
      <w:pPr>
        <w:pStyle w:val="Caption"/>
        <w:sectPr w:rsidR="00AA388F" w:rsidSect="00C34AFA">
          <w:footnotePr>
            <w:pos w:val="beneathText"/>
          </w:footnotePr>
          <w:pgSz w:w="11907" w:h="16840" w:code="9"/>
          <w:pgMar w:top="567" w:right="425" w:bottom="567" w:left="425" w:header="567" w:footer="221" w:gutter="0"/>
          <w:cols w:space="720"/>
          <w:noEndnote/>
          <w:docGrid w:linePitch="360"/>
        </w:sectPr>
      </w:pPr>
    </w:p>
    <w:p w14:paraId="4FF4E919" w14:textId="77777777" w:rsidR="001C054D" w:rsidRDefault="00B37A44" w:rsidP="00D81202">
      <w:pPr>
        <w:pStyle w:val="Caption"/>
        <w:jc w:val="center"/>
      </w:pPr>
      <w:r>
        <w:rPr>
          <w:noProof/>
        </w:rPr>
        <w:lastRenderedPageBreak/>
        <w:drawing>
          <wp:inline distT="0" distB="0" distL="0" distR="0" wp14:anchorId="1E1B048C" wp14:editId="142D8CC4">
            <wp:extent cx="4991100" cy="4162425"/>
            <wp:effectExtent l="38100" t="57150" r="190500" b="161925"/>
            <wp:docPr id="9" name="Chart 9" descr="Bar chart: Procedures for Medical Exemption under S166. GP Evidence: 87%. Independent Evidence: 18%. Application Form: 36%.">
              <a:extLst xmlns:a="http://schemas.openxmlformats.org/drawingml/2006/main">
                <a:ext uri="{FF2B5EF4-FFF2-40B4-BE49-F238E27FC236}">
                  <a16:creationId xmlns:a16="http://schemas.microsoft.com/office/drawing/2014/main" id="{0698B2B4-AC6B-43A2-BDBD-0A7893D34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E21C60" w14:textId="148EA602" w:rsidR="001C054D" w:rsidRDefault="001C054D" w:rsidP="001C054D">
      <w:pPr>
        <w:pStyle w:val="Caption"/>
      </w:pPr>
      <w:bookmarkStart w:id="103" w:name="_Toc525407008"/>
      <w:r>
        <w:t xml:space="preserve">Figure </w:t>
      </w:r>
      <w:r w:rsidR="00427FDC">
        <w:rPr>
          <w:noProof/>
        </w:rPr>
        <w:fldChar w:fldCharType="begin"/>
      </w:r>
      <w:r w:rsidR="00427FDC">
        <w:rPr>
          <w:noProof/>
        </w:rPr>
        <w:instrText xml:space="preserve"> SEQ Figure \* ARABIC </w:instrText>
      </w:r>
      <w:r w:rsidR="00427FDC">
        <w:rPr>
          <w:noProof/>
        </w:rPr>
        <w:fldChar w:fldCharType="separate"/>
      </w:r>
      <w:r w:rsidR="00247F48">
        <w:rPr>
          <w:noProof/>
        </w:rPr>
        <w:t>11</w:t>
      </w:r>
      <w:r w:rsidR="00427FDC">
        <w:rPr>
          <w:noProof/>
        </w:rPr>
        <w:fldChar w:fldCharType="end"/>
      </w:r>
      <w:r>
        <w:t xml:space="preserve"> – Procedures for Medical Exemption under S166</w:t>
      </w:r>
      <w:bookmarkEnd w:id="103"/>
    </w:p>
    <w:p w14:paraId="3B9D739E" w14:textId="0B54D7DD" w:rsidR="001C054D" w:rsidRPr="001C054D" w:rsidRDefault="001C054D" w:rsidP="001C054D">
      <w:r>
        <w:t>Only 36% of authorities have an application form by which taxi drivers may apply for medical exemption under S166; and only 18% have complied with the statutory guidance recommending that authorities appoint an independent medical examiner to consider applications. Most authorities would accept GP evidence alone in support of a driver’s application.</w:t>
      </w:r>
    </w:p>
    <w:p w14:paraId="6217028C" w14:textId="49715B91" w:rsidR="001C054D" w:rsidRDefault="001C054D" w:rsidP="00D84D25">
      <w:pPr>
        <w:pStyle w:val="Heading2"/>
        <w:rPr>
          <w:spacing w:val="4"/>
        </w:rPr>
      </w:pPr>
      <w:bookmarkStart w:id="104" w:name="_Toc525413995"/>
      <w:r>
        <w:rPr>
          <w:spacing w:val="4"/>
        </w:rPr>
        <w:t xml:space="preserve">Statutory </w:t>
      </w:r>
      <w:r w:rsidR="001427AE">
        <w:rPr>
          <w:spacing w:val="4"/>
        </w:rPr>
        <w:t xml:space="preserve">appeal </w:t>
      </w:r>
      <w:r>
        <w:rPr>
          <w:spacing w:val="4"/>
        </w:rPr>
        <w:t>mechanisms</w:t>
      </w:r>
      <w:bookmarkEnd w:id="104"/>
    </w:p>
    <w:p w14:paraId="3F326550" w14:textId="621A06C3" w:rsidR="001C054D" w:rsidRDefault="00E5152A" w:rsidP="001C054D">
      <w:r>
        <w:t xml:space="preserve">No drivers have </w:t>
      </w:r>
      <w:r w:rsidR="00190820">
        <w:t>appealed against the inclusion of their vehicle on a S167 list. No drivers have appealed against a decision not to grant a medical exemption.</w:t>
      </w:r>
    </w:p>
    <w:p w14:paraId="27DDAEED" w14:textId="107C6D0F" w:rsidR="00190820" w:rsidRDefault="00190820" w:rsidP="00190820">
      <w:pPr>
        <w:pStyle w:val="Heading2"/>
      </w:pPr>
      <w:bookmarkStart w:id="105" w:name="_Toc525413996"/>
      <w:r>
        <w:t>Enforcement</w:t>
      </w:r>
      <w:bookmarkEnd w:id="105"/>
      <w:r>
        <w:t xml:space="preserve"> </w:t>
      </w:r>
    </w:p>
    <w:p w14:paraId="10709572" w14:textId="50D747EB" w:rsidR="00190820" w:rsidRDefault="00190820" w:rsidP="00190820">
      <w:r>
        <w:t>In the first two rounds of this research, no taxi driver had faced prosecution under S165 of the Equality Act since its commencement. (</w:t>
      </w:r>
      <w:r w:rsidR="000559BA">
        <w:t xml:space="preserve">Peterborough council </w:t>
      </w:r>
      <w:r>
        <w:t xml:space="preserve">erroneously prosecuted </w:t>
      </w:r>
      <w:r w:rsidR="000559BA">
        <w:t xml:space="preserve">one driver </w:t>
      </w:r>
      <w:r>
        <w:t>under S165 in June 2013, over 3 years before the legislation was commenced</w:t>
      </w:r>
      <w:r>
        <w:rPr>
          <w:rStyle w:val="EndnoteReference"/>
        </w:rPr>
        <w:endnoteReference w:id="14"/>
      </w:r>
      <w:r>
        <w:t xml:space="preserve">. </w:t>
      </w:r>
      <w:r w:rsidR="000559BA">
        <w:t xml:space="preserve">The courts </w:t>
      </w:r>
      <w:r>
        <w:t>found</w:t>
      </w:r>
      <w:r w:rsidR="000559BA">
        <w:t xml:space="preserve"> him</w:t>
      </w:r>
      <w:r>
        <w:t xml:space="preserve"> guilty</w:t>
      </w:r>
      <w:r w:rsidR="000559BA">
        <w:t xml:space="preserve"> of failing to ensure a wheelchair user was clamped in</w:t>
      </w:r>
      <w:r>
        <w:t xml:space="preserve">, fined </w:t>
      </w:r>
      <w:r w:rsidR="000559BA">
        <w:t xml:space="preserve">him </w:t>
      </w:r>
      <w:r>
        <w:t xml:space="preserve">£250 and ordered </w:t>
      </w:r>
      <w:r w:rsidR="000559BA">
        <w:t xml:space="preserve">him </w:t>
      </w:r>
      <w:r>
        <w:t>to pay £400 in costs and a £15 victim surcharge</w:t>
      </w:r>
      <w:r w:rsidR="000559BA">
        <w:t>.)</w:t>
      </w:r>
    </w:p>
    <w:p w14:paraId="31D2271E" w14:textId="47412A03" w:rsidR="00BA6F55" w:rsidRDefault="00BA6F55" w:rsidP="00190820">
      <w:r>
        <w:t xml:space="preserve">As of May 2018, i.e. over a year after the legislation was commenced, </w:t>
      </w:r>
      <w:r w:rsidR="00786B4F">
        <w:t>four drivers have been prosecuted under S165, in three authorities</w:t>
      </w:r>
      <w:r w:rsidR="00EA09A8">
        <w:t>, resulting in three convictions.</w:t>
      </w:r>
    </w:p>
    <w:p w14:paraId="5509E1FD" w14:textId="33684F2C" w:rsidR="00786B4F" w:rsidRDefault="00786B4F" w:rsidP="00190820">
      <w:r>
        <w:lastRenderedPageBreak/>
        <w:t>Bolton</w:t>
      </w:r>
      <w:r w:rsidR="00AD7172">
        <w:t xml:space="preserve"> borough council prosecuted </w:t>
      </w:r>
      <w:r>
        <w:t xml:space="preserve">two drivers. </w:t>
      </w:r>
      <w:r w:rsidR="00AD7172">
        <w:t>The court a</w:t>
      </w:r>
      <w:r>
        <w:t>cquitted</w:t>
      </w:r>
      <w:r w:rsidR="00AD7172">
        <w:t xml:space="preserve"> one and sentenced the other </w:t>
      </w:r>
      <w:r>
        <w:t>to a conditional discharge. The impact on that driver’s licence was still to be determined.</w:t>
      </w:r>
    </w:p>
    <w:p w14:paraId="0C9D250C" w14:textId="06650F3D" w:rsidR="00786B4F" w:rsidRDefault="00786B4F" w:rsidP="00190820">
      <w:r>
        <w:t>Bury</w:t>
      </w:r>
      <w:r w:rsidR="00AD7172">
        <w:t xml:space="preserve"> borough council prosecuted</w:t>
      </w:r>
      <w:r>
        <w:t xml:space="preserve"> one driver</w:t>
      </w:r>
      <w:r w:rsidR="00AD7172">
        <w:t xml:space="preserve">. He was </w:t>
      </w:r>
      <w:r w:rsidR="00A06DE8">
        <w:t>fined,</w:t>
      </w:r>
      <w:r>
        <w:t xml:space="preserve"> and </w:t>
      </w:r>
      <w:r w:rsidR="00A06DE8">
        <w:t xml:space="preserve">his licence was </w:t>
      </w:r>
      <w:r w:rsidR="000559BA">
        <w:t>later</w:t>
      </w:r>
      <w:r w:rsidR="00A06DE8">
        <w:t xml:space="preserve"> suspended for four months</w:t>
      </w:r>
      <w:r>
        <w:t>.</w:t>
      </w:r>
    </w:p>
    <w:p w14:paraId="7FA7462D" w14:textId="6CCF4C29" w:rsidR="00451681" w:rsidRDefault="00786B4F" w:rsidP="00451681">
      <w:r>
        <w:t xml:space="preserve">Transport for London had successfully prosecuted one driver. </w:t>
      </w:r>
      <w:r w:rsidR="00A06DE8">
        <w:t xml:space="preserve">The court imposed </w:t>
      </w:r>
      <w:r w:rsidR="00451681">
        <w:t xml:space="preserve">a conditional discharge and ordered </w:t>
      </w:r>
      <w:r w:rsidR="00A06DE8">
        <w:t xml:space="preserve">him </w:t>
      </w:r>
      <w:r w:rsidR="00451681">
        <w:t xml:space="preserve">to pay compensation of £150 and </w:t>
      </w:r>
      <w:r w:rsidR="00451681" w:rsidRPr="00451681">
        <w:t>£</w:t>
      </w:r>
      <w:r w:rsidR="00451681">
        <w:t>1050</w:t>
      </w:r>
      <w:r w:rsidR="00451681" w:rsidRPr="00451681">
        <w:t xml:space="preserve"> in costs</w:t>
      </w:r>
      <w:r w:rsidR="00451681">
        <w:t>.</w:t>
      </w:r>
      <w:r w:rsidR="00451681" w:rsidRPr="00451681">
        <w:t xml:space="preserve"> </w:t>
      </w:r>
      <w:r w:rsidR="00451681">
        <w:t>T</w:t>
      </w:r>
      <w:r w:rsidR="00A06DE8">
        <w:t>FL had yet to determine the</w:t>
      </w:r>
      <w:r w:rsidR="00451681">
        <w:t xml:space="preserve"> impact on his licenc</w:t>
      </w:r>
      <w:r w:rsidR="00A06DE8">
        <w:t>e</w:t>
      </w:r>
      <w:r w:rsidR="00451681">
        <w:t>.</w:t>
      </w:r>
    </w:p>
    <w:p w14:paraId="5E593B6D" w14:textId="0EE82395" w:rsidR="00451681" w:rsidRDefault="00A06DE8" w:rsidP="00451681">
      <w:r>
        <w:t>Hastings Borough Council conducted one PACE interview with a taxi driver and issued</w:t>
      </w:r>
      <w:r w:rsidR="00451681">
        <w:t xml:space="preserve"> a simple caution.</w:t>
      </w:r>
      <w:r w:rsidR="00451681">
        <w:rPr>
          <w:rStyle w:val="EndnoteReference"/>
        </w:rPr>
        <w:endnoteReference w:id="15"/>
      </w:r>
    </w:p>
    <w:p w14:paraId="2C3CCE58" w14:textId="412BEB93" w:rsidR="00451681" w:rsidRDefault="00451681" w:rsidP="00451681">
      <w:r>
        <w:t>There had been no other prosecutions under S165 anywhere in Great Britain.</w:t>
      </w:r>
    </w:p>
    <w:p w14:paraId="4CF94B8E" w14:textId="797938FE" w:rsidR="00451681" w:rsidRDefault="008142CD" w:rsidP="008142CD">
      <w:pPr>
        <w:pStyle w:val="Heading2"/>
      </w:pPr>
      <w:bookmarkStart w:id="106" w:name="_Toc525413997"/>
      <w:r>
        <w:t>Confusion over S167</w:t>
      </w:r>
      <w:bookmarkEnd w:id="106"/>
    </w:p>
    <w:p w14:paraId="3A8C5419" w14:textId="30016AF1" w:rsidR="008142CD" w:rsidRDefault="008142CD" w:rsidP="008142CD">
      <w:r>
        <w:t xml:space="preserve">Whilst in general authorities </w:t>
      </w:r>
      <w:r w:rsidR="00A06DE8">
        <w:t>showed</w:t>
      </w:r>
      <w:r>
        <w:t xml:space="preserve"> an improved understanding of their role in implementing the legislation compared to a year ago, this was not universally the case. </w:t>
      </w:r>
    </w:p>
    <w:p w14:paraId="795D7FFC" w14:textId="4FC65D51" w:rsidR="008142CD" w:rsidRDefault="008142CD" w:rsidP="008142CD">
      <w:r>
        <w:t xml:space="preserve">Some authorities that had previously informed me that they had a S167 list and thus contributed towards the statistics in my interim reports, </w:t>
      </w:r>
      <w:r w:rsidR="00A06DE8">
        <w:t>later</w:t>
      </w:r>
      <w:r>
        <w:t xml:space="preserve"> turned out to not have </w:t>
      </w:r>
      <w:r w:rsidR="000559BA">
        <w:t>one</w:t>
      </w:r>
      <w:r>
        <w:t>.</w:t>
      </w:r>
    </w:p>
    <w:p w14:paraId="7589D11A" w14:textId="023CA62B" w:rsidR="008142CD" w:rsidRPr="008142CD" w:rsidRDefault="008142CD" w:rsidP="008142CD">
      <w:r>
        <w:t xml:space="preserve">Ashfield district council is under the impression that a S167 list includes vehicles that can only accommodate a wheelchair user if they transfer onto a seat. </w:t>
      </w:r>
    </w:p>
    <w:p w14:paraId="4CCD925B" w14:textId="77777777" w:rsidR="0060588C" w:rsidRDefault="00FD162D" w:rsidP="00FD162D">
      <w:pPr>
        <w:pStyle w:val="Heading1"/>
      </w:pPr>
      <w:bookmarkStart w:id="107" w:name="_Toc488088785"/>
      <w:bookmarkStart w:id="108" w:name="_Toc488093173"/>
      <w:bookmarkStart w:id="109" w:name="_Toc525413998"/>
      <w:bookmarkEnd w:id="95"/>
      <w:bookmarkEnd w:id="96"/>
      <w:r>
        <w:lastRenderedPageBreak/>
        <w:t>Discussion</w:t>
      </w:r>
      <w:bookmarkEnd w:id="107"/>
      <w:bookmarkEnd w:id="108"/>
      <w:bookmarkEnd w:id="109"/>
    </w:p>
    <w:p w14:paraId="05749A4F" w14:textId="77777777" w:rsidR="00EF3D81" w:rsidRDefault="00EF3D81" w:rsidP="00EF3D81">
      <w:pPr>
        <w:pStyle w:val="Heading2"/>
        <w:numPr>
          <w:ilvl w:val="0"/>
          <w:numId w:val="28"/>
        </w:numPr>
      </w:pPr>
      <w:bookmarkStart w:id="110" w:name="_Toc488088786"/>
      <w:bookmarkStart w:id="111" w:name="_Toc488093174"/>
      <w:bookmarkStart w:id="112" w:name="_Toc525413999"/>
      <w:r>
        <w:t>Importance of Taxis</w:t>
      </w:r>
      <w:bookmarkEnd w:id="110"/>
      <w:bookmarkEnd w:id="111"/>
      <w:bookmarkEnd w:id="112"/>
    </w:p>
    <w:p w14:paraId="65508131" w14:textId="77777777" w:rsidR="00EF3D81" w:rsidRDefault="00EF3D81" w:rsidP="00EF3D81">
      <w:r>
        <w:t xml:space="preserve">The availability of wheelchair accessible taxis and private hire vehicles is of key importance to wheelchair users. </w:t>
      </w:r>
    </w:p>
    <w:p w14:paraId="5C79335A" w14:textId="77777777" w:rsidR="00EF3D81" w:rsidRDefault="00EF3D81" w:rsidP="00EF3D81">
      <w:r>
        <w:t xml:space="preserve">As </w:t>
      </w:r>
      <w:r w:rsidRPr="00EF3D81">
        <w:t xml:space="preserve">Andrew Jones MP, the Parliamentary Under Secretary of State at the Department for Transport, </w:t>
      </w:r>
      <w:r>
        <w:t>told the Equality Act 2010 and Disability committee:</w:t>
      </w:r>
      <w:r w:rsidRPr="00EF3D81">
        <w:t xml:space="preserve"> </w:t>
      </w:r>
    </w:p>
    <w:p w14:paraId="30B3FBE2" w14:textId="77777777" w:rsidR="00EF3D81" w:rsidRPr="00EF3D81" w:rsidRDefault="00EF3D81" w:rsidP="00EF3D81">
      <w:pPr>
        <w:pStyle w:val="Quote"/>
      </w:pPr>
      <w:r w:rsidRPr="00EF3D81">
        <w:t>I fully recognise that taxis, private hire vehicles and buses are of fundamental importance for disabled people.</w:t>
      </w:r>
      <w:r>
        <w:t xml:space="preserve"> There is no question about that.</w:t>
      </w:r>
      <w:r>
        <w:rPr>
          <w:rStyle w:val="EndnoteReference"/>
        </w:rPr>
        <w:endnoteReference w:id="16"/>
      </w:r>
    </w:p>
    <w:p w14:paraId="03D2CE12" w14:textId="77777777" w:rsidR="00FD162D" w:rsidRDefault="00E536D4" w:rsidP="00E536D4">
      <w:pPr>
        <w:pStyle w:val="Heading2"/>
        <w:numPr>
          <w:ilvl w:val="0"/>
          <w:numId w:val="28"/>
        </w:numPr>
      </w:pPr>
      <w:bookmarkStart w:id="113" w:name="_Toc488088787"/>
      <w:bookmarkStart w:id="114" w:name="_Toc488093175"/>
      <w:bookmarkStart w:id="115" w:name="_Toc525414000"/>
      <w:r>
        <w:t>S167 take-up</w:t>
      </w:r>
      <w:bookmarkEnd w:id="113"/>
      <w:bookmarkEnd w:id="114"/>
      <w:bookmarkEnd w:id="115"/>
    </w:p>
    <w:p w14:paraId="49382829" w14:textId="07D6D902" w:rsidR="00E536D4" w:rsidRDefault="00E536D4" w:rsidP="00E536D4">
      <w:r>
        <w:t xml:space="preserve">Authorities’ </w:t>
      </w:r>
      <w:r w:rsidR="007C0EB1">
        <w:t>approaches to</w:t>
      </w:r>
      <w:r>
        <w:t xml:space="preserve"> S167 of the Equality Act vary </w:t>
      </w:r>
      <w:r w:rsidR="00A06DE8">
        <w:t>with</w:t>
      </w:r>
      <w:r>
        <w:t xml:space="preserve"> a substantial proportion having no intent to implement S167 at all.</w:t>
      </w:r>
    </w:p>
    <w:p w14:paraId="0A697966" w14:textId="77777777" w:rsidR="00E536D4" w:rsidRDefault="00E536D4" w:rsidP="00E536D4">
      <w:r>
        <w:t>As the Department for Transport put it,</w:t>
      </w:r>
    </w:p>
    <w:p w14:paraId="0B6302FE" w14:textId="77777777" w:rsidR="00E536D4" w:rsidRDefault="00E536D4" w:rsidP="00E536D4">
      <w:pPr>
        <w:pStyle w:val="Quote"/>
      </w:pPr>
      <w:r w:rsidRPr="00E536D4">
        <w:t>Whilst LAs are under no specific legal obligation to maintain a list under section 167, the Government recommends strongly that they do so. Without such a list the requirements of section 165 of the Act do not apply, and drivers may continue to refuse the carriage of wheelchair users, fail to provide them with assistance, or to charge them extra.</w:t>
      </w:r>
    </w:p>
    <w:p w14:paraId="1F0B8F7E" w14:textId="4C80D6E1" w:rsidR="00B24DCB" w:rsidRDefault="00B24DCB" w:rsidP="006661C1">
      <w:r>
        <w:t xml:space="preserve">They </w:t>
      </w:r>
      <w:r w:rsidR="00A06DE8">
        <w:t>said</w:t>
      </w:r>
      <w:r>
        <w:t>:</w:t>
      </w:r>
    </w:p>
    <w:p w14:paraId="71563113" w14:textId="3A45940C" w:rsidR="00B24DCB" w:rsidRDefault="00B24DCB" w:rsidP="00B24DCB">
      <w:pPr>
        <w:pStyle w:val="Quote"/>
      </w:pPr>
      <w:r>
        <w:t>We would expect these arrangements to take no more than a maximum of six months to put in place, following the commencement of these provision</w:t>
      </w:r>
    </w:p>
    <w:p w14:paraId="707681F1" w14:textId="47937EAC" w:rsidR="006661C1" w:rsidRDefault="006661C1" w:rsidP="006661C1">
      <w:r>
        <w:t xml:space="preserve">Despite this, </w:t>
      </w:r>
      <w:r w:rsidR="00B24DCB">
        <w:t xml:space="preserve">one year on from the commencement of these provisions, </w:t>
      </w:r>
      <w:r>
        <w:t>only 4</w:t>
      </w:r>
      <w:r w:rsidR="00B24DCB">
        <w:t>8</w:t>
      </w:r>
      <w:r>
        <w:t>% of authorities have a S167 list</w:t>
      </w:r>
      <w:r w:rsidR="00B24DCB">
        <w:t>. 18</w:t>
      </w:r>
      <w:r>
        <w:t xml:space="preserve">% of authorities either have no plans to create a S167 list or have yet to decide </w:t>
      </w:r>
      <w:r w:rsidR="00AB2D59">
        <w:t xml:space="preserve">whether </w:t>
      </w:r>
      <w:r>
        <w:t>to do so.</w:t>
      </w:r>
    </w:p>
    <w:p w14:paraId="0D63F92F" w14:textId="77777777" w:rsidR="00EC13C2" w:rsidRPr="006661C1" w:rsidRDefault="00EC13C2" w:rsidP="006661C1">
      <w:r>
        <w:t>Whole areas of the country are comparative “no go” zones for wheelchair users needing taxis.</w:t>
      </w:r>
    </w:p>
    <w:p w14:paraId="26D862FA" w14:textId="77777777" w:rsidR="006661C1" w:rsidRDefault="00465774" w:rsidP="009E1B75">
      <w:pPr>
        <w:pStyle w:val="Heading2"/>
      </w:pPr>
      <w:bookmarkStart w:id="116" w:name="_Toc488088790"/>
      <w:bookmarkStart w:id="117" w:name="_Toc488093178"/>
      <w:bookmarkStart w:id="118" w:name="_Toc525414001"/>
      <w:r>
        <w:t>Areas with poor provision</w:t>
      </w:r>
      <w:bookmarkEnd w:id="116"/>
      <w:bookmarkEnd w:id="117"/>
      <w:bookmarkEnd w:id="118"/>
    </w:p>
    <w:p w14:paraId="5659C798" w14:textId="3977AFB6" w:rsidR="006661C1" w:rsidRDefault="00465774" w:rsidP="006661C1">
      <w:r>
        <w:t>Several a</w:t>
      </w:r>
      <w:r w:rsidR="006661C1">
        <w:t xml:space="preserve">uthorities </w:t>
      </w:r>
      <w:r w:rsidR="00A06DE8">
        <w:t>said</w:t>
      </w:r>
      <w:r w:rsidR="006661C1">
        <w:t xml:space="preserve"> there is little point in creating a S167 list because they have so few wheelchair accessible taxis</w:t>
      </w:r>
      <w:r w:rsidR="0091023B">
        <w:t>,</w:t>
      </w:r>
      <w:r w:rsidR="006661C1">
        <w:t xml:space="preserve"> or because </w:t>
      </w:r>
      <w:r w:rsidR="000559BA">
        <w:t xml:space="preserve">statutory bodies fully occupy </w:t>
      </w:r>
      <w:r w:rsidR="006661C1">
        <w:t>most or all the area’s wheelchair accessible taxi</w:t>
      </w:r>
      <w:r w:rsidR="000559BA">
        <w:t>s</w:t>
      </w:r>
      <w:r w:rsidR="006661C1">
        <w:t xml:space="preserve">. </w:t>
      </w:r>
    </w:p>
    <w:p w14:paraId="4D4AE397" w14:textId="191BA32E" w:rsidR="009E1B75" w:rsidRDefault="006661C1" w:rsidP="006661C1">
      <w:r>
        <w:t xml:space="preserve">Provision of wheelchair accessible taxis varies </w:t>
      </w:r>
      <w:r w:rsidR="00A06DE8">
        <w:t>across</w:t>
      </w:r>
      <w:r>
        <w:t xml:space="preserve"> the country. Many areas of the country are wheelchair “no go” areas</w:t>
      </w:r>
      <w:r w:rsidR="0091023B">
        <w:t>,</w:t>
      </w:r>
      <w:r>
        <w:t xml:space="preserve"> that have d</w:t>
      </w:r>
      <w:r w:rsidR="009E1B75">
        <w:t>istressingly low</w:t>
      </w:r>
      <w:r w:rsidR="0091023B">
        <w:t xml:space="preserve"> S167</w:t>
      </w:r>
      <w:r w:rsidR="009E1B75">
        <w:t xml:space="preserve"> take-up. The postcode </w:t>
      </w:r>
      <w:r w:rsidR="00322479">
        <w:t>lottery is rife. W</w:t>
      </w:r>
      <w:r w:rsidR="009E1B75">
        <w:t>heelchair users in Scotland are particularly poorly served.</w:t>
      </w:r>
    </w:p>
    <w:p w14:paraId="1ABC3E48" w14:textId="4ABB6D96" w:rsidR="00AB296E" w:rsidRDefault="0045612C" w:rsidP="0045612C">
      <w:pPr>
        <w:pStyle w:val="Heading2"/>
      </w:pPr>
      <w:bookmarkStart w:id="119" w:name="_Toc525414002"/>
      <w:r>
        <w:lastRenderedPageBreak/>
        <w:t>Medical exemptions</w:t>
      </w:r>
      <w:bookmarkEnd w:id="119"/>
    </w:p>
    <w:p w14:paraId="1367FE45" w14:textId="0B213077" w:rsidR="0045612C" w:rsidRDefault="00CB2E42" w:rsidP="0045612C">
      <w:r>
        <w:t>Some areas of the country have wildly disproportionate numbers of drivers with medical exemptions from duties towards wheelchair users. It is not clear why some areas or councils attract and approve this. Wheelchair users in such areas are likely to be disadvantaged.</w:t>
      </w:r>
    </w:p>
    <w:p w14:paraId="134CEAEC" w14:textId="497DED7C" w:rsidR="008F2F84" w:rsidRDefault="008F2F84" w:rsidP="008F2F84">
      <w:pPr>
        <w:pStyle w:val="Heading2"/>
      </w:pPr>
      <w:bookmarkStart w:id="120" w:name="_Toc525414003"/>
      <w:r>
        <w:t>Compliance with technical specifications</w:t>
      </w:r>
      <w:bookmarkEnd w:id="120"/>
    </w:p>
    <w:p w14:paraId="7F0C88DB" w14:textId="5B2112E7" w:rsidR="008F2F84" w:rsidRPr="008F2F84" w:rsidRDefault="008F2F84" w:rsidP="008F2F84">
      <w:r>
        <w:t>30 authorities (18%) have produced “S167 lists” which do not comply with the specification set out in the statutory guidance. This risks the possibility that it would be impossible to enforce compliance in these areas.</w:t>
      </w:r>
    </w:p>
    <w:p w14:paraId="42AE104C" w14:textId="614DB63B" w:rsidR="00AD22EB" w:rsidRDefault="006A2965" w:rsidP="00AD22EB">
      <w:pPr>
        <w:pStyle w:val="Heading2"/>
      </w:pPr>
      <w:bookmarkStart w:id="121" w:name="_Toc525414004"/>
      <w:r>
        <w:t>Prosecution for offences</w:t>
      </w:r>
      <w:bookmarkEnd w:id="121"/>
    </w:p>
    <w:p w14:paraId="04E4B2AC" w14:textId="4D75D140" w:rsidR="00B14E21" w:rsidRDefault="00B14E21" w:rsidP="00B14E21">
      <w:r>
        <w:t xml:space="preserve">There have only been three successful prosecutions of taxi drivers for discrimination against wheelchair users under this legislation. This is not a reflection of the number of such incidents. </w:t>
      </w:r>
    </w:p>
    <w:p w14:paraId="3B8B6C01" w14:textId="2871198E" w:rsidR="006A2965" w:rsidRDefault="006A2965" w:rsidP="00B14E21">
      <w:r>
        <w:t>There are 1.2 million wheelchair users in the UK; 0.8 million of whom are regular wheelchair users.</w:t>
      </w:r>
      <w:r>
        <w:rPr>
          <w:rStyle w:val="EndnoteReference"/>
        </w:rPr>
        <w:endnoteReference w:id="17"/>
      </w:r>
      <w:r>
        <w:t xml:space="preserve"> There are over 49,000 wheelchair accessible taxis in areas where the anti-discrimination legislation is in force. It is simply not credible to suggest that the number of prosecutions is anything other than a miniscule fraction of the number of breaches.</w:t>
      </w:r>
    </w:p>
    <w:p w14:paraId="3931234C" w14:textId="77B39304" w:rsidR="008F2F84" w:rsidRDefault="00B14E21" w:rsidP="008F2F84">
      <w:r>
        <w:t xml:space="preserve">I have personally experienced taxi drivers discriminating against me at least </w:t>
      </w:r>
      <w:r w:rsidR="009B519F">
        <w:t>8 times</w:t>
      </w:r>
      <w:r>
        <w:t xml:space="preserve"> over the past year. This has included drivers leaving the meter running whilst loading me, and drivers </w:t>
      </w:r>
      <w:r w:rsidR="00A06DE8">
        <w:t>not restraining</w:t>
      </w:r>
      <w:r>
        <w:t xml:space="preserve"> my wheelchair or fit a seatbelt.</w:t>
      </w:r>
      <w:r w:rsidR="006A2965">
        <w:t xml:space="preserve"> </w:t>
      </w:r>
      <w:r w:rsidR="00CB2E42">
        <w:t xml:space="preserve">I experience such </w:t>
      </w:r>
      <w:r w:rsidR="006C36F1">
        <w:t xml:space="preserve">on </w:t>
      </w:r>
      <w:r w:rsidR="009B519F">
        <w:t>most of</w:t>
      </w:r>
      <w:r w:rsidR="006C36F1">
        <w:t xml:space="preserve"> my taxi journeys. Where this has occurred in areas with S167 lists, this constitutes direct breaches of S165 of the Equality Act.</w:t>
      </w:r>
      <w:r w:rsidR="006A2965">
        <w:t xml:space="preserve"> </w:t>
      </w:r>
      <w:r w:rsidR="00CB2E42">
        <w:t>I have reported each incident to both the Police and the Licensing Authority. N</w:t>
      </w:r>
      <w:r w:rsidR="006A2965">
        <w:t xml:space="preserve">o driver has faced prosecution </w:t>
      </w:r>
      <w:r w:rsidR="009B519F">
        <w:t>because of</w:t>
      </w:r>
      <w:r w:rsidR="006A2965">
        <w:t xml:space="preserve"> these incidents.</w:t>
      </w:r>
      <w:r w:rsidR="008F2F84">
        <w:t xml:space="preserve"> Drivers who have put my life at risk through </w:t>
      </w:r>
      <w:r w:rsidR="00A06DE8">
        <w:t>not restraining</w:t>
      </w:r>
      <w:r w:rsidR="008F2F84">
        <w:t xml:space="preserve"> my wheelchair or to fit a seatbelt have had no action taken on their licence other than a simple warning. </w:t>
      </w:r>
    </w:p>
    <w:p w14:paraId="2FD4CA53" w14:textId="35FAB80B" w:rsidR="006A2965" w:rsidRDefault="006A2965" w:rsidP="006A2965">
      <w:pPr>
        <w:pStyle w:val="Heading2"/>
      </w:pPr>
      <w:bookmarkStart w:id="122" w:name="_Toc525414005"/>
      <w:r>
        <w:t>Existing regulation</w:t>
      </w:r>
      <w:bookmarkEnd w:id="122"/>
    </w:p>
    <w:p w14:paraId="43A9287D" w14:textId="70BE8F64" w:rsidR="00CB2E42" w:rsidRDefault="006A2965" w:rsidP="006A2965">
      <w:r>
        <w:t xml:space="preserve">Some authorities claim that their </w:t>
      </w:r>
      <w:r w:rsidR="00CB2E42">
        <w:t xml:space="preserve">existing enforcement mechanisms are </w:t>
      </w:r>
      <w:r w:rsidR="009B519F">
        <w:t>enough</w:t>
      </w:r>
      <w:r w:rsidR="00CB2E42">
        <w:t xml:space="preserve"> to prevent and punish taxi drivers’ discrimination against wheelchair users. My experience is to the contrary. </w:t>
      </w:r>
    </w:p>
    <w:p w14:paraId="5E724E56" w14:textId="7D11E428" w:rsidR="00CB2E42" w:rsidRDefault="00CB2E42" w:rsidP="006A2965">
      <w:r>
        <w:t xml:space="preserve">An example: Renfrewshire council have not implemented </w:t>
      </w:r>
      <w:r w:rsidR="0072418F">
        <w:t xml:space="preserve">S167 and have not </w:t>
      </w:r>
      <w:r>
        <w:t>included</w:t>
      </w:r>
      <w:r w:rsidR="0072418F">
        <w:t xml:space="preserve"> equivalent requirements </w:t>
      </w:r>
      <w:r>
        <w:t>in their taxi licensing conditions</w:t>
      </w:r>
      <w:r w:rsidR="0072418F">
        <w:t xml:space="preserve">. As a result, a driver’s failure to restrain my wheelchair or to strap me in was not an offence under S165 Equality Act 2010 or the </w:t>
      </w:r>
      <w:r w:rsidR="0072418F" w:rsidRPr="0072418F">
        <w:t>Civic Government (Scotland) Act 1982</w:t>
      </w:r>
      <w:r w:rsidR="008F2F84">
        <w:t xml:space="preserve">. Achieving redress </w:t>
      </w:r>
      <w:r w:rsidR="009B519F">
        <w:t>in</w:t>
      </w:r>
      <w:r w:rsidR="008F2F84">
        <w:t xml:space="preserve"> such circumstances is </w:t>
      </w:r>
      <w:r w:rsidR="00A06DE8">
        <w:t>exceedingly difficult</w:t>
      </w:r>
      <w:r w:rsidR="008F2F84">
        <w:t>.</w:t>
      </w:r>
    </w:p>
    <w:p w14:paraId="48BE752B" w14:textId="3A3B8BAA" w:rsidR="009E1B75" w:rsidRDefault="009E1B75" w:rsidP="009E1B75">
      <w:pPr>
        <w:pStyle w:val="Heading2"/>
      </w:pPr>
      <w:bookmarkStart w:id="123" w:name="_Toc488088793"/>
      <w:bookmarkStart w:id="124" w:name="_Toc488093181"/>
      <w:bookmarkStart w:id="125" w:name="_Toc525414006"/>
      <w:r>
        <w:t xml:space="preserve">Inadequacy of </w:t>
      </w:r>
      <w:r w:rsidR="007708D8">
        <w:t>Guidance</w:t>
      </w:r>
      <w:bookmarkEnd w:id="123"/>
      <w:bookmarkEnd w:id="124"/>
      <w:bookmarkEnd w:id="125"/>
    </w:p>
    <w:p w14:paraId="4DA1DD2B" w14:textId="33B39328" w:rsidR="009E1B75" w:rsidRDefault="009E1B75" w:rsidP="009E1B75">
      <w:r>
        <w:t>I posit that the poor take-up of S167 shows that recommendations and guidance are of limited use in making public authorities take the actions necessary to implement</w:t>
      </w:r>
      <w:r w:rsidR="007708D8">
        <w:t xml:space="preserve"> and safeguard</w:t>
      </w:r>
      <w:r>
        <w:t xml:space="preserve"> disabled peoples’ rights. </w:t>
      </w:r>
    </w:p>
    <w:p w14:paraId="55AE9FB3" w14:textId="2B6B2060" w:rsidR="006661C1" w:rsidRDefault="006661C1" w:rsidP="00E536D4">
      <w:r>
        <w:t xml:space="preserve">As celebrated stalwart disability rights champion </w:t>
      </w:r>
      <w:r w:rsidR="009E1B75">
        <w:t xml:space="preserve">Baroness </w:t>
      </w:r>
      <w:r>
        <w:t xml:space="preserve">Jane Campbell put it (in relation to analogous bus access </w:t>
      </w:r>
      <w:r w:rsidR="009E1B75">
        <w:t>regulations</w:t>
      </w:r>
      <w:r w:rsidR="00B87A63">
        <w:t>):</w:t>
      </w:r>
    </w:p>
    <w:p w14:paraId="27317124" w14:textId="77777777" w:rsidR="006661C1" w:rsidRDefault="006661C1" w:rsidP="006661C1">
      <w:pPr>
        <w:pStyle w:val="Quote"/>
      </w:pPr>
      <w:r w:rsidRPr="006661C1">
        <w:lastRenderedPageBreak/>
        <w:t>I am not a fan of guidance at this stage in our disability equality history</w:t>
      </w:r>
      <w:r>
        <w:t xml:space="preserve"> … </w:t>
      </w:r>
      <w:r w:rsidRPr="006661C1">
        <w:t>Guidance will not cut the mustard</w:t>
      </w:r>
      <w:r>
        <w:t xml:space="preserve"> … (New guidance would) never deliver the result that we need – that is, full, guaranteed access for disabled people</w:t>
      </w:r>
    </w:p>
    <w:p w14:paraId="2ECE4720" w14:textId="626807B5" w:rsidR="006661C1" w:rsidRDefault="006661C1" w:rsidP="006661C1">
      <w:pPr>
        <w:pStyle w:val="Quote"/>
      </w:pPr>
      <w:r>
        <w:t>Guidance without statutory backing or any enforcement behind it can be ignored with impunity – and, let us face it, we have plenty of experience of public services doing just that. Guidance is fine, but we know that it can be left on the shelf and ignored. People may start with good intentions but, in reality, other priorities invariably get in the way.”</w:t>
      </w:r>
      <w:r w:rsidR="009E1B75">
        <w:rPr>
          <w:rStyle w:val="EndnoteReference"/>
        </w:rPr>
        <w:endnoteReference w:id="18"/>
      </w:r>
    </w:p>
    <w:p w14:paraId="4BFC9381" w14:textId="053AD18A" w:rsidR="008F2F84" w:rsidRDefault="008F2F84" w:rsidP="008F2F84">
      <w:r>
        <w:t xml:space="preserve">The statutory guidance </w:t>
      </w:r>
      <w:r w:rsidR="00A06DE8">
        <w:t>recommends</w:t>
      </w:r>
      <w:r>
        <w:t xml:space="preserve"> authorities with S167 lists to issue instructions to drivers about when they should start or stop the taxi meter. This is important as loading and unloading wheelchair users takes significantly longer than ambulant people</w:t>
      </w:r>
      <w:r w:rsidR="007934D8">
        <w:t xml:space="preserve">, </w:t>
      </w:r>
      <w:r w:rsidR="00A06DE8">
        <w:t xml:space="preserve">so starting the meter before loading a wheelchair user </w:t>
      </w:r>
      <w:r w:rsidR="007934D8">
        <w:t>result</w:t>
      </w:r>
      <w:r w:rsidR="00A06DE8">
        <w:t>s in an</w:t>
      </w:r>
      <w:r w:rsidR="007934D8">
        <w:t xml:space="preserve"> increased </w:t>
      </w:r>
      <w:r w:rsidR="00A06DE8">
        <w:t>fare</w:t>
      </w:r>
      <w:r w:rsidR="007934D8">
        <w:t>. Yet most authorities with S167 lists (54%) have not issued said instructions.</w:t>
      </w:r>
    </w:p>
    <w:p w14:paraId="5ED0E511" w14:textId="49D133BD" w:rsidR="007934D8" w:rsidRDefault="007934D8" w:rsidP="008F2F84">
      <w:r>
        <w:t xml:space="preserve">Only 4% (7) authorities with S167 lists have </w:t>
      </w:r>
      <w:r w:rsidR="00A06DE8">
        <w:t>followed</w:t>
      </w:r>
      <w:r>
        <w:t xml:space="preserve"> the statutory recommendation to include on their lists details as to </w:t>
      </w:r>
      <w:r w:rsidR="00A06DE8">
        <w:t xml:space="preserve">the </w:t>
      </w:r>
      <w:r>
        <w:t xml:space="preserve">size of wheelchair </w:t>
      </w:r>
      <w:r w:rsidR="00A06DE8">
        <w:t xml:space="preserve">each taxi </w:t>
      </w:r>
      <w:r>
        <w:t>can accommodate. This will cause a substantial barrier to people with outsize wheelchairs. Only 3% (12) of authorities have produced the recommended (separate) list of taxis which will accept wheelchair users who transfer into a seat.</w:t>
      </w:r>
    </w:p>
    <w:p w14:paraId="3356B8EB" w14:textId="07799F5F" w:rsidR="00A06DE8" w:rsidRPr="008F2F84" w:rsidRDefault="00A06DE8" w:rsidP="008F2F84">
      <w:r>
        <w:t>No authority has followed all elements of the statutory guidance.</w:t>
      </w:r>
    </w:p>
    <w:p w14:paraId="3A8B5052" w14:textId="77777777" w:rsidR="00C45B02" w:rsidRDefault="00C45B02" w:rsidP="00C45B02">
      <w:pPr>
        <w:pStyle w:val="Heading2"/>
      </w:pPr>
      <w:bookmarkStart w:id="126" w:name="_Toc488088794"/>
      <w:bookmarkStart w:id="127" w:name="_Toc488093182"/>
      <w:bookmarkStart w:id="128" w:name="_Toc525414007"/>
      <w:r>
        <w:t>Remedies</w:t>
      </w:r>
      <w:bookmarkEnd w:id="126"/>
      <w:bookmarkEnd w:id="127"/>
      <w:bookmarkEnd w:id="128"/>
    </w:p>
    <w:p w14:paraId="0D952E63" w14:textId="42900B85" w:rsidR="00C45B02" w:rsidRDefault="00B177DD" w:rsidP="00C45B02">
      <w:r>
        <w:t>T</w:t>
      </w:r>
      <w:r w:rsidR="00C45B02">
        <w:t xml:space="preserve">he problems that I have </w:t>
      </w:r>
      <w:r w:rsidR="00A06DE8">
        <w:t>showed</w:t>
      </w:r>
      <w:r w:rsidR="00C45B02">
        <w:t xml:space="preserve"> with the taxi anti-discrimination legislation are a result of poor drafting of the Act</w:t>
      </w:r>
      <w:r>
        <w:t>.</w:t>
      </w:r>
      <w:r w:rsidR="00C45B02">
        <w:t xml:space="preserve"> </w:t>
      </w:r>
      <w:r w:rsidR="007934D8">
        <w:t xml:space="preserve">Relying on local licensing bodies to do the necessary work to implement the legislation in their area was a fundamental error. </w:t>
      </w:r>
      <w:r w:rsidR="00C45B02">
        <w:t>To correct th</w:t>
      </w:r>
      <w:r w:rsidR="007934D8">
        <w:t>i</w:t>
      </w:r>
      <w:r w:rsidR="00C45B02">
        <w:t xml:space="preserve">s problem </w:t>
      </w:r>
      <w:r w:rsidR="007934D8">
        <w:t xml:space="preserve">will </w:t>
      </w:r>
      <w:r w:rsidR="00C45B02">
        <w:t xml:space="preserve">take primary legislation. </w:t>
      </w:r>
    </w:p>
    <w:p w14:paraId="019C9A6D" w14:textId="51BDB429" w:rsidR="00166D2F" w:rsidRDefault="007934D8" w:rsidP="00C45B02">
      <w:r>
        <w:t xml:space="preserve">Wheelchair users need effective and uniform rights of access to taxis. </w:t>
      </w:r>
      <w:r w:rsidR="000559BA">
        <w:t xml:space="preserve">This </w:t>
      </w:r>
      <w:r>
        <w:t xml:space="preserve">can only be achieved </w:t>
      </w:r>
      <w:r w:rsidR="00A06DE8">
        <w:t>by</w:t>
      </w:r>
      <w:r>
        <w:t xml:space="preserve"> legislation placing all UK drivers of wheelchair accessible taxis under the duties not to discriminate against wheelchair user</w:t>
      </w:r>
      <w:r w:rsidR="00166D2F">
        <w:t>s, instead of the Government relying on local licensing bodies undertaking action to implement it in their area.</w:t>
      </w:r>
    </w:p>
    <w:p w14:paraId="55515DF0" w14:textId="1C848A34" w:rsidR="00166D2F" w:rsidRDefault="00166D2F" w:rsidP="00C45B02">
      <w:r>
        <w:t xml:space="preserve">Where </w:t>
      </w:r>
      <w:r w:rsidR="00A06DE8">
        <w:t xml:space="preserve">the Government or local authorities have taken </w:t>
      </w:r>
      <w:r>
        <w:t>action to bring this anti-discrimination legislation into force, either through S167 lists or new legislation, there needs to be effective mechanisms to detect and report offences and to prosecute drivers. Legislation without effective enforcement is of little benefit.</w:t>
      </w:r>
    </w:p>
    <w:p w14:paraId="5D42178D" w14:textId="44166354" w:rsidR="0083423C" w:rsidRPr="00C45B02" w:rsidRDefault="0083423C" w:rsidP="00C45B02"/>
    <w:p w14:paraId="4B8E584F" w14:textId="77777777" w:rsidR="00E536D4" w:rsidRDefault="00EA1B55" w:rsidP="00EA1B55">
      <w:pPr>
        <w:pStyle w:val="Heading1"/>
      </w:pPr>
      <w:bookmarkStart w:id="129" w:name="_Toc488088795"/>
      <w:bookmarkStart w:id="130" w:name="_Toc488093183"/>
      <w:bookmarkStart w:id="131" w:name="_Toc525414008"/>
      <w:r>
        <w:lastRenderedPageBreak/>
        <w:t>Conclusion</w:t>
      </w:r>
      <w:bookmarkEnd w:id="129"/>
      <w:bookmarkEnd w:id="130"/>
      <w:bookmarkEnd w:id="131"/>
    </w:p>
    <w:p w14:paraId="2EDEB19B" w14:textId="77777777" w:rsidR="00EA1B55" w:rsidRDefault="00EA1B55" w:rsidP="00EA1B55"/>
    <w:p w14:paraId="30505828" w14:textId="19D1ED92" w:rsidR="003954F6" w:rsidRDefault="00EA1B55" w:rsidP="00EA1B55">
      <w:r>
        <w:t xml:space="preserve">In the main, </w:t>
      </w:r>
      <w:r w:rsidR="00C04EC4">
        <w:t>taxi licensing authorities</w:t>
      </w:r>
      <w:r>
        <w:t xml:space="preserve"> </w:t>
      </w:r>
      <w:r w:rsidR="00166D2F">
        <w:t xml:space="preserve">have </w:t>
      </w:r>
      <w:r>
        <w:t>not engag</w:t>
      </w:r>
      <w:r w:rsidR="00166D2F">
        <w:t>ed</w:t>
      </w:r>
      <w:r>
        <w:t xml:space="preserve"> with their power to outlaw taxi drivers’ discrimin</w:t>
      </w:r>
      <w:r w:rsidR="00C04EC4">
        <w:t>ation against wheelchair users. As a result,</w:t>
      </w:r>
      <w:r w:rsidR="00166D2F">
        <w:t xml:space="preserve"> the legislation is still not in force in most areas </w:t>
      </w:r>
      <w:r w:rsidR="00C04EC4">
        <w:t xml:space="preserve">of the UK. </w:t>
      </w:r>
    </w:p>
    <w:p w14:paraId="2593B5C2" w14:textId="3B191330" w:rsidR="00166D2F" w:rsidRDefault="00166D2F" w:rsidP="00EA1B55">
      <w:r>
        <w:t xml:space="preserve">Even where </w:t>
      </w:r>
      <w:r w:rsidR="000559BA">
        <w:t xml:space="preserve">licensing bodies have implemented </w:t>
      </w:r>
      <w:r>
        <w:t>the legislation, there has been virtually no enforcement or punishment of offenders.</w:t>
      </w:r>
    </w:p>
    <w:p w14:paraId="2AB85728" w14:textId="6FB51B9E" w:rsidR="008A3BD3" w:rsidRDefault="00C04EC4" w:rsidP="00EA1B55">
      <w:r>
        <w:t xml:space="preserve">There are serious flaws in </w:t>
      </w:r>
      <w:r w:rsidR="00C45B02">
        <w:t xml:space="preserve">the taxi anti-discrimination provisions in the Equality Act, that </w:t>
      </w:r>
      <w:r w:rsidR="00A06DE8">
        <w:t>make</w:t>
      </w:r>
      <w:r w:rsidR="00C45B02">
        <w:t xml:space="preserve"> the provisions of little benefit to wheelchair users </w:t>
      </w:r>
      <w:r w:rsidR="00166D2F">
        <w:t xml:space="preserve">across </w:t>
      </w:r>
      <w:r w:rsidR="00C45B02">
        <w:t xml:space="preserve">the country. </w:t>
      </w:r>
    </w:p>
    <w:p w14:paraId="25023ED5" w14:textId="51C0CCAB" w:rsidR="00C04EC4" w:rsidRDefault="00C45B02" w:rsidP="00EA1B55">
      <w:r>
        <w:t>Primary legislation</w:t>
      </w:r>
      <w:r w:rsidR="0083423C">
        <w:t xml:space="preserve"> </w:t>
      </w:r>
      <w:r w:rsidR="00166D2F">
        <w:t>is</w:t>
      </w:r>
      <w:r w:rsidR="00A06DE8">
        <w:t xml:space="preserve"> needed</w:t>
      </w:r>
      <w:r w:rsidR="0083423C">
        <w:t xml:space="preserve"> to remedy this</w:t>
      </w:r>
      <w:r w:rsidR="00166D2F">
        <w:t>.</w:t>
      </w:r>
    </w:p>
    <w:p w14:paraId="655CC3CB" w14:textId="1E886253" w:rsidR="000F52AC" w:rsidRDefault="000F52AC" w:rsidP="00EA1B55"/>
    <w:p w14:paraId="7130D454" w14:textId="77777777" w:rsidR="000F52AC" w:rsidRDefault="000F52AC" w:rsidP="00EA1B55"/>
    <w:p w14:paraId="62313902" w14:textId="77777777" w:rsidR="00D7621D" w:rsidRDefault="00D7621D" w:rsidP="00D7621D">
      <w:pPr>
        <w:pStyle w:val="Heading1"/>
      </w:pPr>
      <w:bookmarkStart w:id="132" w:name="_Toc488088796"/>
      <w:bookmarkStart w:id="133" w:name="_Toc488093184"/>
      <w:bookmarkStart w:id="134" w:name="_Toc525414009"/>
      <w:r>
        <w:lastRenderedPageBreak/>
        <w:t>Recommendations</w:t>
      </w:r>
      <w:bookmarkEnd w:id="132"/>
      <w:bookmarkEnd w:id="133"/>
      <w:bookmarkEnd w:id="134"/>
    </w:p>
    <w:p w14:paraId="1564F472" w14:textId="77777777" w:rsidR="00D7621D" w:rsidRDefault="00D7621D" w:rsidP="00D7621D">
      <w:pPr>
        <w:pStyle w:val="Heading2"/>
        <w:numPr>
          <w:ilvl w:val="0"/>
          <w:numId w:val="30"/>
        </w:numPr>
      </w:pPr>
      <w:bookmarkStart w:id="135" w:name="_Toc488088797"/>
      <w:bookmarkStart w:id="136" w:name="_Toc488093185"/>
      <w:bookmarkStart w:id="137" w:name="_Toc525414010"/>
      <w:r>
        <w:t>To the Department for Transport</w:t>
      </w:r>
      <w:bookmarkEnd w:id="135"/>
      <w:bookmarkEnd w:id="136"/>
      <w:bookmarkEnd w:id="137"/>
    </w:p>
    <w:p w14:paraId="5D027069" w14:textId="184FE6D8" w:rsidR="00D7621D" w:rsidRDefault="00A11CD1" w:rsidP="00D7621D">
      <w:pPr>
        <w:pStyle w:val="ListParagraph"/>
        <w:numPr>
          <w:ilvl w:val="0"/>
          <w:numId w:val="31"/>
        </w:numPr>
      </w:pPr>
      <w:r w:rsidRPr="00D60FCE">
        <w:t>Compel</w:t>
      </w:r>
      <w:r>
        <w:t xml:space="preserve"> </w:t>
      </w:r>
      <w:r w:rsidR="00166D2F">
        <w:t>local authorities to create S167 lists and effective enforcement procedures; through means of judicial review if necessary</w:t>
      </w:r>
    </w:p>
    <w:p w14:paraId="419F526C" w14:textId="4D68AB42" w:rsidR="00D7621D" w:rsidRDefault="00D7621D" w:rsidP="00D7621D">
      <w:pPr>
        <w:pStyle w:val="ListParagraph"/>
        <w:numPr>
          <w:ilvl w:val="0"/>
          <w:numId w:val="31"/>
        </w:numPr>
      </w:pPr>
      <w:r>
        <w:t>Create</w:t>
      </w:r>
      <w:r w:rsidR="007A6860">
        <w:t xml:space="preserve"> and disseminate</w:t>
      </w:r>
      <w:r>
        <w:t xml:space="preserve"> model enforcement policies and procedures</w:t>
      </w:r>
    </w:p>
    <w:p w14:paraId="173A3596" w14:textId="6324F98E" w:rsidR="00D7621D" w:rsidRDefault="00D7621D" w:rsidP="00D7621D">
      <w:pPr>
        <w:pStyle w:val="Heading2"/>
        <w:numPr>
          <w:ilvl w:val="0"/>
          <w:numId w:val="30"/>
        </w:numPr>
      </w:pPr>
      <w:bookmarkStart w:id="138" w:name="_Toc488088798"/>
      <w:bookmarkStart w:id="139" w:name="_Toc488093186"/>
      <w:bookmarkStart w:id="140" w:name="_Toc525414011"/>
      <w:r>
        <w:t>To Local Authorities and TFL</w:t>
      </w:r>
      <w:bookmarkEnd w:id="138"/>
      <w:bookmarkEnd w:id="139"/>
      <w:bookmarkEnd w:id="140"/>
    </w:p>
    <w:p w14:paraId="2F267B2F" w14:textId="4582D32D" w:rsidR="00D7621D" w:rsidRDefault="00D7621D" w:rsidP="00D7621D">
      <w:pPr>
        <w:pStyle w:val="ListParagraph"/>
        <w:numPr>
          <w:ilvl w:val="0"/>
          <w:numId w:val="32"/>
        </w:numPr>
      </w:pPr>
      <w:r>
        <w:t>Implement a s167 list for taxis and private hire vehicles</w:t>
      </w:r>
      <w:r w:rsidR="007A6860">
        <w:t xml:space="preserve"> in your area</w:t>
      </w:r>
    </w:p>
    <w:p w14:paraId="72507CAF" w14:textId="1230FCBA" w:rsidR="00D7621D" w:rsidRDefault="00D7621D" w:rsidP="00D7621D">
      <w:pPr>
        <w:pStyle w:val="ListParagraph"/>
        <w:numPr>
          <w:ilvl w:val="0"/>
          <w:numId w:val="32"/>
        </w:numPr>
      </w:pPr>
      <w:r>
        <w:t>Do so even if all taxis licensed by yourselves are accessible</w:t>
      </w:r>
      <w:r w:rsidR="004A6C40">
        <w:t>,</w:t>
      </w:r>
      <w:r>
        <w:t xml:space="preserve"> </w:t>
      </w:r>
      <w:r w:rsidR="004A6C40">
        <w:t xml:space="preserve">if </w:t>
      </w:r>
      <w:r>
        <w:t>you have very few accessible taxis</w:t>
      </w:r>
      <w:r w:rsidR="00166D2F">
        <w:t xml:space="preserve">, or such taxis are used </w:t>
      </w:r>
      <w:r w:rsidR="00A06DE8">
        <w:t xml:space="preserve">predominantly or exclusively </w:t>
      </w:r>
      <w:r w:rsidR="00166D2F">
        <w:t>for council and NHS contracts</w:t>
      </w:r>
    </w:p>
    <w:p w14:paraId="789E377E" w14:textId="793D73F8" w:rsidR="00D7621D" w:rsidRDefault="00D7621D" w:rsidP="00D7621D">
      <w:pPr>
        <w:pStyle w:val="ListParagraph"/>
        <w:numPr>
          <w:ilvl w:val="0"/>
          <w:numId w:val="32"/>
        </w:numPr>
      </w:pPr>
      <w:r>
        <w:t>Develop and implement proactive enforcement policies and procedures</w:t>
      </w:r>
      <w:r w:rsidR="007F2DAA">
        <w:t xml:space="preserve"> to ensure taxi drivers </w:t>
      </w:r>
      <w:r w:rsidR="001B1CDF">
        <w:t>comply with their obligations towards wheelchair users</w:t>
      </w:r>
    </w:p>
    <w:p w14:paraId="68C3D050" w14:textId="77777777" w:rsidR="00D7621D" w:rsidRDefault="00D7621D" w:rsidP="00D7621D">
      <w:pPr>
        <w:pStyle w:val="Heading2"/>
      </w:pPr>
      <w:bookmarkStart w:id="141" w:name="_Toc488088799"/>
      <w:bookmarkStart w:id="142" w:name="_Toc488093187"/>
      <w:bookmarkStart w:id="143" w:name="_Toc525414012"/>
      <w:r>
        <w:t>To disabled people, disabled people’s organisations and allies</w:t>
      </w:r>
      <w:bookmarkEnd w:id="141"/>
      <w:bookmarkEnd w:id="142"/>
      <w:bookmarkEnd w:id="143"/>
    </w:p>
    <w:p w14:paraId="3B1B6A80" w14:textId="77777777" w:rsidR="00D7621D" w:rsidRDefault="00D7621D" w:rsidP="00D7621D">
      <w:pPr>
        <w:ind w:firstLine="357"/>
      </w:pPr>
      <w:r>
        <w:t>(including me!)</w:t>
      </w:r>
    </w:p>
    <w:p w14:paraId="25D17762" w14:textId="77777777" w:rsidR="00D7621D" w:rsidRDefault="00D7621D" w:rsidP="00D7621D">
      <w:pPr>
        <w:pStyle w:val="ListParagraph"/>
        <w:numPr>
          <w:ilvl w:val="0"/>
          <w:numId w:val="34"/>
        </w:numPr>
      </w:pPr>
      <w:r>
        <w:t>Continue campaigning to raise the profile of the inadequacy of this law</w:t>
      </w:r>
    </w:p>
    <w:p w14:paraId="6FDDBDFF" w14:textId="77777777" w:rsidR="00D7621D" w:rsidRDefault="00794951" w:rsidP="00D7621D">
      <w:pPr>
        <w:pStyle w:val="ListParagraph"/>
        <w:numPr>
          <w:ilvl w:val="0"/>
          <w:numId w:val="34"/>
        </w:numPr>
      </w:pPr>
      <w:r>
        <w:t>Educate taxi licensing authorities in your area about sections 165 and 167 of the Act</w:t>
      </w:r>
    </w:p>
    <w:p w14:paraId="28CEBFD9" w14:textId="255784F8" w:rsidR="00794951" w:rsidRDefault="00794951" w:rsidP="00D7621D">
      <w:pPr>
        <w:pStyle w:val="ListParagraph"/>
        <w:numPr>
          <w:ilvl w:val="0"/>
          <w:numId w:val="34"/>
        </w:numPr>
      </w:pPr>
      <w:r>
        <w:t xml:space="preserve">Pressurise your licensing authorities to create a S167 list and to enforce </w:t>
      </w:r>
      <w:r w:rsidR="006227B4">
        <w:t xml:space="preserve">drivers’ </w:t>
      </w:r>
      <w:r>
        <w:t>compliance with S165</w:t>
      </w:r>
    </w:p>
    <w:p w14:paraId="6306280E" w14:textId="4C4D9281" w:rsidR="00166D2F" w:rsidRDefault="00166D2F" w:rsidP="00166D2F">
      <w:pPr>
        <w:pStyle w:val="ListParagraph"/>
        <w:numPr>
          <w:ilvl w:val="0"/>
          <w:numId w:val="34"/>
        </w:numPr>
      </w:pPr>
      <w:bookmarkStart w:id="144" w:name="_Toc488088800"/>
      <w:r>
        <w:t xml:space="preserve">Document and report every incident you </w:t>
      </w:r>
      <w:r w:rsidR="009B519F">
        <w:t>experience and</w:t>
      </w:r>
      <w:r>
        <w:t xml:space="preserve"> insist </w:t>
      </w:r>
      <w:r w:rsidR="00A06DE8">
        <w:t xml:space="preserve">the licensing body </w:t>
      </w:r>
      <w:r w:rsidR="000559BA">
        <w:t>acts</w:t>
      </w:r>
      <w:r w:rsidR="00A06DE8">
        <w:t xml:space="preserve"> </w:t>
      </w:r>
      <w:r>
        <w:t>against the driver.</w:t>
      </w:r>
    </w:p>
    <w:p w14:paraId="10FC124B" w14:textId="006346B6" w:rsidR="00424AD0" w:rsidRDefault="00424AD0" w:rsidP="002A0182">
      <w:pPr>
        <w:pStyle w:val="Heading1"/>
      </w:pPr>
      <w:bookmarkStart w:id="145" w:name="_Toc488093188"/>
      <w:bookmarkStart w:id="146" w:name="_Toc525414013"/>
      <w:r>
        <w:lastRenderedPageBreak/>
        <w:t>Appendices</w:t>
      </w:r>
      <w:bookmarkEnd w:id="144"/>
      <w:bookmarkEnd w:id="145"/>
      <w:bookmarkEnd w:id="146"/>
    </w:p>
    <w:p w14:paraId="315674E1" w14:textId="6287747A" w:rsidR="00424AD0" w:rsidRPr="00424AD0" w:rsidRDefault="00424AD0" w:rsidP="007865A5">
      <w:pPr>
        <w:pStyle w:val="Heading2"/>
        <w:numPr>
          <w:ilvl w:val="0"/>
          <w:numId w:val="0"/>
        </w:numPr>
        <w:ind w:left="720"/>
      </w:pPr>
      <w:bookmarkStart w:id="147" w:name="_Appendix_1_–"/>
      <w:bookmarkStart w:id="148" w:name="_Ref487746190"/>
      <w:bookmarkStart w:id="149" w:name="_Toc488088801"/>
      <w:bookmarkStart w:id="150" w:name="_Toc488093189"/>
      <w:bookmarkStart w:id="151" w:name="_Toc525414014"/>
      <w:bookmarkEnd w:id="147"/>
      <w:r>
        <w:t>Appendix 1 – Freedom of Information request sent to each authority</w:t>
      </w:r>
      <w:bookmarkEnd w:id="148"/>
      <w:bookmarkEnd w:id="149"/>
      <w:bookmarkEnd w:id="150"/>
      <w:bookmarkEnd w:id="151"/>
    </w:p>
    <w:p w14:paraId="3EEC8193" w14:textId="77777777" w:rsidR="00F92600" w:rsidRDefault="00F92600" w:rsidP="00F92600">
      <w:pPr>
        <w:spacing w:after="0" w:line="240" w:lineRule="auto"/>
        <w:jc w:val="left"/>
      </w:pPr>
    </w:p>
    <w:p w14:paraId="27C2D864" w14:textId="57003B37" w:rsidR="00F92600" w:rsidRDefault="00F92600" w:rsidP="00BF758F">
      <w:pPr>
        <w:spacing w:afterLines="80" w:after="192" w:line="240" w:lineRule="auto"/>
        <w:jc w:val="left"/>
      </w:pPr>
      <w:r>
        <w:t>Dear Northumberland County Council,</w:t>
      </w:r>
    </w:p>
    <w:p w14:paraId="78F4331D" w14:textId="77777777" w:rsidR="00F92600" w:rsidRDefault="00F92600" w:rsidP="00BF758F">
      <w:pPr>
        <w:spacing w:afterLines="80" w:after="192" w:line="240" w:lineRule="auto"/>
        <w:jc w:val="left"/>
      </w:pPr>
    </w:p>
    <w:p w14:paraId="4B59E7FB" w14:textId="1B030646" w:rsidR="00F92600" w:rsidRDefault="00F92600" w:rsidP="00BF758F">
      <w:pPr>
        <w:spacing w:afterLines="80" w:after="192" w:line="240" w:lineRule="auto"/>
        <w:jc w:val="left"/>
      </w:pPr>
      <w:r>
        <w:t xml:space="preserve">I am writing this Freedom of Information Request in relation to your Council's compliance or otherwise with the Government's statutory guidance on implementation of S165-167 of the Equality Act, relating to taxi services for wheelchair users. All taxi licensing bodies are obliged under S167(6) to have "due regard" to the document "Access for wheelchair users to taxis and private hire vehicles: statutory guidance" at </w:t>
      </w:r>
      <w:hyperlink r:id="rId53" w:tooltip="Governmental statutory guidance issued under S166 Equality Act 2010 (PDF)" w:history="1">
        <w:r w:rsidRPr="00F17319">
          <w:rPr>
            <w:rStyle w:val="Hyperlink"/>
          </w:rPr>
          <w:t>https://assets.publishing.service.gov.uk/government/uploads/system/uploads/attachment_data/file/593350/access-for-wheelchair-users-taxis-and-private-hire-vehicles.pdf</w:t>
        </w:r>
      </w:hyperlink>
      <w:r>
        <w:t xml:space="preserve"> . The questions I raise below should be interpreted as requests for recorded information under the Freedom of Information Act.</w:t>
      </w:r>
    </w:p>
    <w:p w14:paraId="5325592E" w14:textId="77777777" w:rsidR="00F92600" w:rsidRDefault="00F92600" w:rsidP="00BF758F">
      <w:pPr>
        <w:spacing w:afterLines="80" w:after="192" w:line="240" w:lineRule="auto"/>
        <w:jc w:val="left"/>
      </w:pPr>
    </w:p>
    <w:p w14:paraId="5ADB211C" w14:textId="77777777" w:rsidR="00F92600" w:rsidRDefault="00F92600" w:rsidP="00BF758F">
      <w:pPr>
        <w:spacing w:afterLines="80" w:after="192" w:line="240" w:lineRule="auto"/>
        <w:jc w:val="left"/>
      </w:pPr>
      <w:r>
        <w:t>I have previously made two similar requests to you, one in April 2017 and one in November 2017. I am now requesting an update to assess the impact of implementing this legislation, 12 months after it was commenced. Please note: this request is not identical to my previous requests and in any case asks for updated information as of the time of sending the request. It is therefore not appropriate to respond simply "see previous answer" or "situation unchanged".</w:t>
      </w:r>
    </w:p>
    <w:p w14:paraId="2392227D" w14:textId="77777777" w:rsidR="00F92600" w:rsidRDefault="00F92600" w:rsidP="00BF758F">
      <w:pPr>
        <w:spacing w:afterLines="80" w:after="192" w:line="240" w:lineRule="auto"/>
        <w:jc w:val="left"/>
      </w:pPr>
    </w:p>
    <w:p w14:paraId="3841DDCB" w14:textId="77777777" w:rsidR="00F92600" w:rsidRDefault="00F92600" w:rsidP="00BF758F">
      <w:pPr>
        <w:spacing w:afterLines="80" w:after="192" w:line="240" w:lineRule="auto"/>
        <w:jc w:val="left"/>
      </w:pPr>
      <w:r>
        <w:t>In response to my previous FOI request on similar matters in November 2017, you indicated that you intended to implement a S167 list by now (May 2018.)</w:t>
      </w:r>
    </w:p>
    <w:p w14:paraId="51E67A0E" w14:textId="77777777" w:rsidR="00F92600" w:rsidRDefault="00F92600" w:rsidP="00BF758F">
      <w:pPr>
        <w:spacing w:afterLines="80" w:after="192" w:line="240" w:lineRule="auto"/>
        <w:jc w:val="left"/>
      </w:pPr>
    </w:p>
    <w:p w14:paraId="11E5459A" w14:textId="77777777" w:rsidR="00F92600" w:rsidRDefault="00F92600" w:rsidP="00BF758F">
      <w:pPr>
        <w:spacing w:afterLines="80" w:after="192" w:line="240" w:lineRule="auto"/>
        <w:jc w:val="left"/>
      </w:pPr>
      <w:r>
        <w:t>1) The Government guidance states: "Whilst LAs are under no specific legal obligation to maintain a list under section 167, the Government recommends strongly that they do so. Without such a list the requirements of section 165 of the Act do not apply, and drivers may continue to refuse the carriage of wheelchair users, fail to provide them with assistance, or to charge them extra."</w:t>
      </w:r>
    </w:p>
    <w:p w14:paraId="23ABE89C" w14:textId="77777777" w:rsidR="00F92600" w:rsidRDefault="00F92600" w:rsidP="00BF758F">
      <w:pPr>
        <w:spacing w:afterLines="80" w:after="192" w:line="240" w:lineRule="auto"/>
        <w:jc w:val="left"/>
      </w:pPr>
      <w:r>
        <w:t>Please can you indicate whether you have now implemented a list of wheelchair accessible taxis under your powers set out in Section 167 of the Equality Act 2010, and/or a list of wheelchair accessible private hire vehicles?</w:t>
      </w:r>
    </w:p>
    <w:p w14:paraId="15075CFA" w14:textId="77777777" w:rsidR="00F92600" w:rsidRDefault="00F92600" w:rsidP="00BF758F">
      <w:pPr>
        <w:spacing w:afterLines="80" w:after="192" w:line="240" w:lineRule="auto"/>
        <w:jc w:val="left"/>
      </w:pPr>
    </w:p>
    <w:p w14:paraId="56868E0E" w14:textId="77777777" w:rsidR="00F92600" w:rsidRDefault="00F92600" w:rsidP="00BF758F">
      <w:pPr>
        <w:spacing w:afterLines="80" w:after="192" w:line="240" w:lineRule="auto"/>
        <w:jc w:val="left"/>
      </w:pPr>
      <w:r>
        <w:t>2) If you do now have such a list, please provide information in response to the following questions 2a) to 2j):</w:t>
      </w:r>
    </w:p>
    <w:p w14:paraId="03048183" w14:textId="77777777" w:rsidR="00F92600" w:rsidRDefault="00F92600" w:rsidP="00BF758F">
      <w:pPr>
        <w:spacing w:afterLines="80" w:after="192" w:line="240" w:lineRule="auto"/>
        <w:jc w:val="left"/>
      </w:pPr>
    </w:p>
    <w:p w14:paraId="5EE92A92" w14:textId="77777777" w:rsidR="00F92600" w:rsidRDefault="00F92600" w:rsidP="00BF758F">
      <w:pPr>
        <w:spacing w:afterLines="80" w:after="192" w:line="240" w:lineRule="auto"/>
        <w:jc w:val="left"/>
      </w:pPr>
      <w:r>
        <w:lastRenderedPageBreak/>
        <w:t>2a) On what date was it put in place?</w:t>
      </w:r>
    </w:p>
    <w:p w14:paraId="321314C9" w14:textId="77777777" w:rsidR="00F92600" w:rsidRDefault="00F92600" w:rsidP="00BF758F">
      <w:pPr>
        <w:spacing w:afterLines="80" w:after="192" w:line="240" w:lineRule="auto"/>
        <w:jc w:val="left"/>
      </w:pPr>
    </w:p>
    <w:p w14:paraId="21112329" w14:textId="77777777" w:rsidR="00F92600" w:rsidRDefault="00F92600" w:rsidP="00BF758F">
      <w:pPr>
        <w:spacing w:afterLines="80" w:after="192" w:line="240" w:lineRule="auto"/>
        <w:jc w:val="left"/>
      </w:pPr>
      <w:r>
        <w:t>2b) The statutory guidance states "The Government therefore recommends that a vehicle should only be included in the authority’s (S167) list if it would be possible for the user of a “reference wheelchair” to enter, leave and travel in the passenger compartment in safety and reasonable comfort whilst seated in their wheelchair."</w:t>
      </w:r>
    </w:p>
    <w:p w14:paraId="297EA1F4" w14:textId="77777777" w:rsidR="00F92600" w:rsidRDefault="00F92600" w:rsidP="00BF758F">
      <w:pPr>
        <w:spacing w:afterLines="80" w:after="192" w:line="240" w:lineRule="auto"/>
        <w:jc w:val="left"/>
      </w:pPr>
      <w:r>
        <w:t>Is this the definition you have used for a taxi or PHV to be considered wheelchair accessible for the purposes of the list?</w:t>
      </w:r>
    </w:p>
    <w:p w14:paraId="7A17E11C" w14:textId="77777777" w:rsidR="00F92600" w:rsidRDefault="00F92600" w:rsidP="00BF758F">
      <w:pPr>
        <w:spacing w:afterLines="80" w:after="192" w:line="240" w:lineRule="auto"/>
        <w:jc w:val="left"/>
      </w:pPr>
    </w:p>
    <w:p w14:paraId="0123D65A" w14:textId="77777777" w:rsidR="00F92600" w:rsidRDefault="00F92600" w:rsidP="00BF758F">
      <w:pPr>
        <w:spacing w:afterLines="80" w:after="192" w:line="240" w:lineRule="auto"/>
        <w:jc w:val="left"/>
      </w:pPr>
      <w:r>
        <w:t>2c) The statutory guidance states: "Before drivers can be subject to the duties under section 165 of the Act, the LA must first publish their list of designated vehicles, and clearly mark it as ‘designated for the purposes of section 165 of the Act’. LAs should ensure that their designated lists are made easily available to passengers, and that vehicle owners and drivers are made aware. Lists should set out the details of the make and model of the vehicle, together with specifying whether the vehicle is a taxi or private hire vehicle, and stating the name of operator."</w:t>
      </w:r>
    </w:p>
    <w:p w14:paraId="56E2F2D1" w14:textId="77777777" w:rsidR="00F92600" w:rsidRDefault="00F92600" w:rsidP="00BF758F">
      <w:pPr>
        <w:spacing w:afterLines="80" w:after="192" w:line="240" w:lineRule="auto"/>
        <w:jc w:val="left"/>
      </w:pPr>
      <w:r>
        <w:t>Have you published your list? Is it marked "designated for the purposes of Section 165 of the Act"? Is the make and model of each vehicle listed? Is each vehicle identified as a taxi or a private hire vehicle? Is the name of the operator of each vehicle given in the list? Have you made owners and drivers of vehicles on the list aware that their vehicle has been listed?</w:t>
      </w:r>
    </w:p>
    <w:p w14:paraId="5B8A17A3" w14:textId="77777777" w:rsidR="00F92600" w:rsidRDefault="00F92600" w:rsidP="00BF758F">
      <w:pPr>
        <w:spacing w:afterLines="80" w:after="192" w:line="240" w:lineRule="auto"/>
        <w:jc w:val="left"/>
      </w:pPr>
    </w:p>
    <w:p w14:paraId="5BB9BA1B" w14:textId="77777777" w:rsidR="00F92600" w:rsidRDefault="00F92600" w:rsidP="00BF758F">
      <w:pPr>
        <w:spacing w:afterLines="80" w:after="192" w:line="240" w:lineRule="auto"/>
        <w:jc w:val="left"/>
      </w:pPr>
      <w:r>
        <w:t>2d) The guidance states: "it would also be helpful to include information about the size and weight of wheelchair that can be accommodated, and whether wheelchairs that are larger than a “reference wheelchair” can be accommodated."</w:t>
      </w:r>
    </w:p>
    <w:p w14:paraId="7F257B3E" w14:textId="77777777" w:rsidR="00F92600" w:rsidRDefault="00F92600" w:rsidP="00BF758F">
      <w:pPr>
        <w:spacing w:afterLines="80" w:after="192" w:line="240" w:lineRule="auto"/>
        <w:jc w:val="left"/>
      </w:pPr>
      <w:r>
        <w:t>Does your list include information on each vehicle as to the size and weight of wheelchair that can be accommodated, and whether wheelchairs larger than a "reference wheelchair" can be accommodated?</w:t>
      </w:r>
    </w:p>
    <w:p w14:paraId="5BF5E6C4" w14:textId="77777777" w:rsidR="00F92600" w:rsidRDefault="00F92600" w:rsidP="00BF758F">
      <w:pPr>
        <w:spacing w:afterLines="80" w:after="192" w:line="240" w:lineRule="auto"/>
        <w:jc w:val="left"/>
      </w:pPr>
    </w:p>
    <w:p w14:paraId="03A2E71E" w14:textId="77777777" w:rsidR="00F92600" w:rsidRDefault="00F92600" w:rsidP="00BF758F">
      <w:pPr>
        <w:spacing w:afterLines="80" w:after="192" w:line="240" w:lineRule="auto"/>
        <w:jc w:val="left"/>
      </w:pPr>
      <w:r>
        <w:t>2e) The guidance states: "We encourage LAs to provide drivers of taxis and PHVs who are not exempt from the duties with clear guidance on their duties with respect to the carriage of passengers in wheelchairs, either as part of existing driver-facing guidance, or as supplementary communication."</w:t>
      </w:r>
    </w:p>
    <w:p w14:paraId="1B890B52" w14:textId="77777777" w:rsidR="00F92600" w:rsidRDefault="00F92600" w:rsidP="00BF758F">
      <w:pPr>
        <w:spacing w:afterLines="80" w:after="192" w:line="240" w:lineRule="auto"/>
        <w:jc w:val="left"/>
      </w:pPr>
      <w:r>
        <w:t>Have you provided non-exempt taxi/PHV drivers with such guidance?</w:t>
      </w:r>
    </w:p>
    <w:p w14:paraId="7383FCB6" w14:textId="77777777" w:rsidR="00F92600" w:rsidRDefault="00F92600" w:rsidP="00BF758F">
      <w:pPr>
        <w:spacing w:afterLines="80" w:after="192" w:line="240" w:lineRule="auto"/>
        <w:jc w:val="left"/>
      </w:pPr>
    </w:p>
    <w:p w14:paraId="2982CD9A" w14:textId="77777777" w:rsidR="00F92600" w:rsidRDefault="00F92600" w:rsidP="00BF758F">
      <w:pPr>
        <w:spacing w:afterLines="80" w:after="192" w:line="240" w:lineRule="auto"/>
        <w:jc w:val="left"/>
      </w:pPr>
      <w:r>
        <w:t>2f) The guidance states: "We recommend that licensing authority rules for drivers are updated to make clear when a meter can and cannot be left running".</w:t>
      </w:r>
    </w:p>
    <w:p w14:paraId="1A164D9C" w14:textId="77777777" w:rsidR="00F92600" w:rsidRDefault="00F92600" w:rsidP="00BF758F">
      <w:pPr>
        <w:spacing w:afterLines="80" w:after="192" w:line="240" w:lineRule="auto"/>
        <w:jc w:val="left"/>
      </w:pPr>
      <w:r>
        <w:t>Have you updated such rules to make this clear?</w:t>
      </w:r>
    </w:p>
    <w:p w14:paraId="64AC2A25" w14:textId="77777777" w:rsidR="00F92600" w:rsidRDefault="00F92600" w:rsidP="00BF758F">
      <w:pPr>
        <w:spacing w:afterLines="80" w:after="192" w:line="240" w:lineRule="auto"/>
        <w:jc w:val="left"/>
      </w:pPr>
    </w:p>
    <w:p w14:paraId="3BD9AA6E" w14:textId="77777777" w:rsidR="00F92600" w:rsidRDefault="00F92600" w:rsidP="00BF758F">
      <w:pPr>
        <w:spacing w:afterLines="80" w:after="192" w:line="240" w:lineRule="auto"/>
        <w:jc w:val="left"/>
      </w:pPr>
      <w:r>
        <w:t>2g) The guidance states: "Section 172 of the Act enables vehicle owners to appeal against the decision of a LA to include their vehicles on the designated list. That appeal should be made to the Magistrate’s Court, or in Scotland the sheriff, and must be made within 28 days of the vehicle in question being included on the LA’s published list."</w:t>
      </w:r>
    </w:p>
    <w:p w14:paraId="286C0166" w14:textId="77777777" w:rsidR="00F92600" w:rsidRDefault="00F92600" w:rsidP="00BF758F">
      <w:pPr>
        <w:spacing w:afterLines="80" w:after="192" w:line="240" w:lineRule="auto"/>
        <w:jc w:val="left"/>
      </w:pPr>
      <w:r>
        <w:t>Please tell me how many such applications have been made to the Magistrates Court, and how many have been successful.</w:t>
      </w:r>
    </w:p>
    <w:p w14:paraId="527E6BD0" w14:textId="77777777" w:rsidR="00F92600" w:rsidRDefault="00F92600" w:rsidP="00BF758F">
      <w:pPr>
        <w:spacing w:afterLines="80" w:after="192" w:line="240" w:lineRule="auto"/>
        <w:jc w:val="left"/>
      </w:pPr>
    </w:p>
    <w:p w14:paraId="56FAE886" w14:textId="77777777" w:rsidR="00F92600" w:rsidRDefault="00F92600" w:rsidP="00BF758F">
      <w:pPr>
        <w:spacing w:afterLines="80" w:after="192" w:line="240" w:lineRule="auto"/>
        <w:jc w:val="left"/>
      </w:pPr>
      <w:r>
        <w:t>2h) How many drivers has the authority prosecuted for discriminatory behaviour contrary to S165 of the Act? How many such prosecutions were successful? What were the sentences?</w:t>
      </w:r>
    </w:p>
    <w:p w14:paraId="72B72DF9" w14:textId="77777777" w:rsidR="00F92600" w:rsidRDefault="00F92600" w:rsidP="00BF758F">
      <w:pPr>
        <w:spacing w:afterLines="80" w:after="192" w:line="240" w:lineRule="auto"/>
        <w:jc w:val="left"/>
      </w:pPr>
    </w:p>
    <w:p w14:paraId="786BACBA" w14:textId="77777777" w:rsidR="00F92600" w:rsidRDefault="00F92600" w:rsidP="00BF758F">
      <w:pPr>
        <w:spacing w:afterLines="80" w:after="192" w:line="240" w:lineRule="auto"/>
        <w:jc w:val="left"/>
      </w:pPr>
      <w:r>
        <w:t>2i) How many drivers licensed by yourselves have been prosecuted by other people or bodies for failure to comply with S165 of the Act? How many such prosecutions were successful? What were the sentences?</w:t>
      </w:r>
    </w:p>
    <w:p w14:paraId="55CE64C3" w14:textId="77777777" w:rsidR="00F92600" w:rsidRDefault="00F92600" w:rsidP="00BF758F">
      <w:pPr>
        <w:spacing w:afterLines="80" w:after="192" w:line="240" w:lineRule="auto"/>
        <w:jc w:val="left"/>
      </w:pPr>
    </w:p>
    <w:p w14:paraId="69FC7D28" w14:textId="77777777" w:rsidR="00F92600" w:rsidRDefault="00F92600" w:rsidP="00BF758F">
      <w:pPr>
        <w:spacing w:afterLines="80" w:after="192" w:line="240" w:lineRule="auto"/>
        <w:jc w:val="left"/>
      </w:pPr>
      <w:r>
        <w:t>2j) Where drivers have been prosecuted under S165 of the Act, thus affecting their standing as a "fit and proper person", what resultant disciplinary action have you taken in respect of their taxi or private hire vehicle drivers' licenses?</w:t>
      </w:r>
    </w:p>
    <w:p w14:paraId="165A4C16" w14:textId="77777777" w:rsidR="00F92600" w:rsidRDefault="00F92600" w:rsidP="00BF758F">
      <w:pPr>
        <w:spacing w:afterLines="80" w:after="192" w:line="240" w:lineRule="auto"/>
        <w:jc w:val="left"/>
      </w:pPr>
    </w:p>
    <w:p w14:paraId="2125B8B1" w14:textId="77777777" w:rsidR="00F92600" w:rsidRDefault="00F92600" w:rsidP="00BF758F">
      <w:pPr>
        <w:spacing w:afterLines="80" w:after="192" w:line="240" w:lineRule="auto"/>
        <w:jc w:val="left"/>
      </w:pPr>
      <w:r>
        <w:t>3) If you do not have a S167 list or lists now, please indicate if you still intend to produce such a list.</w:t>
      </w:r>
    </w:p>
    <w:p w14:paraId="3F2B29D4" w14:textId="77777777" w:rsidR="00F92600" w:rsidRDefault="00F92600" w:rsidP="00BF758F">
      <w:pPr>
        <w:spacing w:afterLines="80" w:after="192" w:line="240" w:lineRule="auto"/>
        <w:jc w:val="left"/>
      </w:pPr>
    </w:p>
    <w:p w14:paraId="75F08773" w14:textId="77777777" w:rsidR="00F92600" w:rsidRDefault="00F92600" w:rsidP="00BF758F">
      <w:pPr>
        <w:spacing w:afterLines="80" w:after="192" w:line="240" w:lineRule="auto"/>
        <w:jc w:val="left"/>
      </w:pPr>
      <w:r>
        <w:t>4) Irrespective of whether you have created a list or not or indeed whether you intend to create such a list, since 2010 you have been obliged to process applications under Section 166 of the Equality Act for driver medical exemptions from the duty to transport and not discriminate against wheelchair users. The Guidance states; "the Act allows LAs to grant exemptions from the duties to individual drivers. These provisions are contained in section 166, and were commenced on 1st October 2010."</w:t>
      </w:r>
    </w:p>
    <w:p w14:paraId="27893406" w14:textId="77777777" w:rsidR="00F92600" w:rsidRDefault="00F92600" w:rsidP="00BF758F">
      <w:pPr>
        <w:spacing w:afterLines="80" w:after="192" w:line="240" w:lineRule="auto"/>
        <w:jc w:val="left"/>
      </w:pPr>
    </w:p>
    <w:p w14:paraId="559D9DB9" w14:textId="77777777" w:rsidR="00F92600" w:rsidRDefault="00F92600" w:rsidP="00BF758F">
      <w:pPr>
        <w:spacing w:afterLines="80" w:after="192" w:line="240" w:lineRule="auto"/>
        <w:jc w:val="left"/>
      </w:pPr>
      <w:r>
        <w:t>4a) How many exemptions have you granted under S166 of the Equality Act 2010?</w:t>
      </w:r>
    </w:p>
    <w:p w14:paraId="1AB8B05B" w14:textId="77777777" w:rsidR="00F92600" w:rsidRDefault="00F92600" w:rsidP="00BF758F">
      <w:pPr>
        <w:spacing w:afterLines="80" w:after="192" w:line="240" w:lineRule="auto"/>
        <w:jc w:val="left"/>
      </w:pPr>
    </w:p>
    <w:p w14:paraId="3A5246FC" w14:textId="77777777" w:rsidR="00F92600" w:rsidRDefault="00F92600" w:rsidP="00BF758F">
      <w:pPr>
        <w:spacing w:afterLines="80" w:after="192" w:line="240" w:lineRule="auto"/>
        <w:jc w:val="left"/>
      </w:pPr>
      <w:r>
        <w:t>4b) The guidance states: "We understand that some licensing authorities have already put in place procedures for accessing and exempting drivers, and as an absolute minimum, we think that the evidence provided should be in the form of a letter or report from a general practitioner."</w:t>
      </w:r>
    </w:p>
    <w:p w14:paraId="017A06AB" w14:textId="77777777" w:rsidR="00F92600" w:rsidRDefault="00F92600" w:rsidP="00BF758F">
      <w:pPr>
        <w:spacing w:afterLines="80" w:after="192" w:line="240" w:lineRule="auto"/>
        <w:jc w:val="left"/>
      </w:pPr>
      <w:r>
        <w:lastRenderedPageBreak/>
        <w:t>Do you accept or require a letter or report from a GP to process applications for driver exemption under S166?</w:t>
      </w:r>
    </w:p>
    <w:p w14:paraId="415E8EC9" w14:textId="77777777" w:rsidR="00F92600" w:rsidRDefault="00F92600" w:rsidP="00BF758F">
      <w:pPr>
        <w:spacing w:afterLines="80" w:after="192" w:line="240" w:lineRule="auto"/>
        <w:jc w:val="left"/>
      </w:pPr>
    </w:p>
    <w:p w14:paraId="6398857E" w14:textId="77777777" w:rsidR="00F92600" w:rsidRDefault="00F92600" w:rsidP="00BF758F">
      <w:pPr>
        <w:spacing w:afterLines="80" w:after="192" w:line="240" w:lineRule="auto"/>
        <w:jc w:val="left"/>
      </w:pPr>
      <w:r>
        <w:t>4c) The guidance states: "The Government’s view is that decisions on exemptions will be fairer and more objective if medical assessments are undertaken by professionals who have been specifically trained and who are independent of the applicant. We would recommend that independent medical assessors are used where a long-term exemption is to be issued, and that LAs use assessors who hold appropriate professional qualifications and who are not open to bias because of a personal or commercial connection to the applicant"</w:t>
      </w:r>
    </w:p>
    <w:p w14:paraId="6D461B39" w14:textId="77777777" w:rsidR="00F92600" w:rsidRDefault="00F92600" w:rsidP="00BF758F">
      <w:pPr>
        <w:spacing w:afterLines="80" w:after="192" w:line="240" w:lineRule="auto"/>
        <w:jc w:val="left"/>
      </w:pPr>
      <w:r>
        <w:t>Have you appointed independent medical assessors to determine applications for medical exemption under S166?</w:t>
      </w:r>
    </w:p>
    <w:p w14:paraId="358F3B7D" w14:textId="77777777" w:rsidR="00F92600" w:rsidRDefault="00F92600" w:rsidP="00BF758F">
      <w:pPr>
        <w:spacing w:afterLines="80" w:after="192" w:line="240" w:lineRule="auto"/>
        <w:jc w:val="left"/>
      </w:pPr>
    </w:p>
    <w:p w14:paraId="52EA05E6" w14:textId="77777777" w:rsidR="00F92600" w:rsidRDefault="00F92600" w:rsidP="00BF758F">
      <w:pPr>
        <w:spacing w:afterLines="80" w:after="192" w:line="240" w:lineRule="auto"/>
        <w:jc w:val="left"/>
      </w:pPr>
      <w:r>
        <w:t>4d) Please provide a copy of your application form for driver exemption under S166.</w:t>
      </w:r>
    </w:p>
    <w:p w14:paraId="76F11A13" w14:textId="77777777" w:rsidR="00F92600" w:rsidRDefault="00F92600" w:rsidP="00BF758F">
      <w:pPr>
        <w:spacing w:afterLines="80" w:after="192" w:line="240" w:lineRule="auto"/>
        <w:jc w:val="left"/>
      </w:pPr>
    </w:p>
    <w:p w14:paraId="1A823CB9" w14:textId="77777777" w:rsidR="00F92600" w:rsidRDefault="00F92600" w:rsidP="00BF758F">
      <w:pPr>
        <w:spacing w:afterLines="80" w:after="192" w:line="240" w:lineRule="auto"/>
        <w:jc w:val="left"/>
      </w:pPr>
      <w:r>
        <w:t>4e) The guidance states: "Section 172 of the Act enables drivers to appeal against the decision of a LA not to issue an exemption certificate. That appeal should be made to the Magistrate’s Court, or a sheriff in Scotland, and must be made within 28 days beginning with the date of the refusal."</w:t>
      </w:r>
    </w:p>
    <w:p w14:paraId="11603564" w14:textId="77777777" w:rsidR="00F92600" w:rsidRDefault="00F92600" w:rsidP="00BF758F">
      <w:pPr>
        <w:spacing w:afterLines="80" w:after="192" w:line="240" w:lineRule="auto"/>
        <w:jc w:val="left"/>
      </w:pPr>
      <w:r>
        <w:t>How many appeals against refusal to issue S166 exemptions have been heard?</w:t>
      </w:r>
    </w:p>
    <w:p w14:paraId="32ECE8F0" w14:textId="77777777" w:rsidR="00F92600" w:rsidRDefault="00F92600" w:rsidP="00BF758F">
      <w:pPr>
        <w:spacing w:afterLines="80" w:after="192" w:line="240" w:lineRule="auto"/>
        <w:jc w:val="left"/>
      </w:pPr>
    </w:p>
    <w:p w14:paraId="45B10E16" w14:textId="77777777" w:rsidR="00F92600" w:rsidRDefault="00F92600" w:rsidP="00BF758F">
      <w:pPr>
        <w:spacing w:afterLines="80" w:after="192" w:line="240" w:lineRule="auto"/>
        <w:jc w:val="left"/>
      </w:pPr>
      <w:r>
        <w:t>4f) How many appeals against refusal to issue S166 exemptions were successful?</w:t>
      </w:r>
    </w:p>
    <w:p w14:paraId="34764619" w14:textId="77777777" w:rsidR="00F92600" w:rsidRDefault="00F92600" w:rsidP="00BF758F">
      <w:pPr>
        <w:spacing w:afterLines="80" w:after="192" w:line="240" w:lineRule="auto"/>
        <w:jc w:val="left"/>
      </w:pPr>
    </w:p>
    <w:p w14:paraId="386BFA55" w14:textId="77777777" w:rsidR="00F92600" w:rsidRDefault="00F92600" w:rsidP="00BF758F">
      <w:pPr>
        <w:spacing w:afterLines="80" w:after="192" w:line="240" w:lineRule="auto"/>
        <w:jc w:val="left"/>
      </w:pPr>
      <w:r>
        <w:t>5) The guidance states: "We would therefore recommend that LAs also publish a list of vehicles that are accessible to passengers in wheelchairs who are able to transfer from their wheelchair into a seat within the vehicle. It should be made clear however that this list of vehicles has not been published for the purposes of section 165 of the Act and drivers of those vehicles are therefore not subject to the legal duties to provide assistance."</w:t>
      </w:r>
    </w:p>
    <w:p w14:paraId="216F7323" w14:textId="77777777" w:rsidR="00F92600" w:rsidRDefault="00F92600" w:rsidP="00BF758F">
      <w:pPr>
        <w:spacing w:afterLines="80" w:after="192" w:line="240" w:lineRule="auto"/>
        <w:jc w:val="left"/>
      </w:pPr>
      <w:r>
        <w:t>Do you currently publish a list of vehicles that are accessible to passengers in wheelchairs who are able to transfer from their wheelchairs into a seat within the vehicle?</w:t>
      </w:r>
    </w:p>
    <w:p w14:paraId="4BA0BA8A" w14:textId="77777777" w:rsidR="00F92600" w:rsidRDefault="00F92600" w:rsidP="00BF758F">
      <w:pPr>
        <w:spacing w:afterLines="80" w:after="192" w:line="240" w:lineRule="auto"/>
        <w:jc w:val="left"/>
      </w:pPr>
    </w:p>
    <w:p w14:paraId="70211C24" w14:textId="77777777" w:rsidR="00F92600" w:rsidRDefault="00F92600" w:rsidP="00BF758F">
      <w:pPr>
        <w:spacing w:afterLines="80" w:after="192" w:line="240" w:lineRule="auto"/>
        <w:jc w:val="left"/>
      </w:pPr>
      <w:r>
        <w:t>Yours faithfully,</w:t>
      </w:r>
    </w:p>
    <w:p w14:paraId="41419361" w14:textId="77777777" w:rsidR="00F92600" w:rsidRDefault="00F92600" w:rsidP="00BF758F">
      <w:pPr>
        <w:spacing w:afterLines="80" w:after="192" w:line="240" w:lineRule="auto"/>
        <w:jc w:val="left"/>
      </w:pPr>
    </w:p>
    <w:p w14:paraId="5CCEA6F7" w14:textId="0BBFC549" w:rsidR="007623F1" w:rsidRDefault="00F92600" w:rsidP="00BF758F">
      <w:pPr>
        <w:spacing w:afterLines="80" w:after="192" w:line="240" w:lineRule="auto"/>
        <w:jc w:val="left"/>
      </w:pPr>
      <w:r>
        <w:t>Doug Paulley</w:t>
      </w:r>
    </w:p>
    <w:p w14:paraId="5A2A177B" w14:textId="77777777" w:rsidR="00BF758F" w:rsidRDefault="00BF758F">
      <w:pPr>
        <w:spacing w:after="0" w:line="240" w:lineRule="auto"/>
        <w:jc w:val="left"/>
        <w:rPr>
          <w:b/>
          <w:bCs/>
          <w:i/>
          <w:sz w:val="28"/>
          <w:szCs w:val="28"/>
        </w:rPr>
      </w:pPr>
      <w:bookmarkStart w:id="152" w:name="_Toc488088804"/>
      <w:bookmarkStart w:id="153" w:name="_Toc488093192"/>
      <w:r>
        <w:br w:type="page"/>
      </w:r>
    </w:p>
    <w:p w14:paraId="4B529C0C" w14:textId="08F1A72C" w:rsidR="00B95A2C" w:rsidRDefault="00DB6009" w:rsidP="007865A5">
      <w:pPr>
        <w:pStyle w:val="Heading2"/>
        <w:numPr>
          <w:ilvl w:val="0"/>
          <w:numId w:val="0"/>
        </w:numPr>
        <w:ind w:left="720"/>
      </w:pPr>
      <w:bookmarkStart w:id="154" w:name="_Toc525414015"/>
      <w:r>
        <w:lastRenderedPageBreak/>
        <w:t xml:space="preserve">Appendix </w:t>
      </w:r>
      <w:r w:rsidR="003406BF">
        <w:t>2</w:t>
      </w:r>
      <w:r>
        <w:t>: Acknowledgements</w:t>
      </w:r>
      <w:bookmarkEnd w:id="152"/>
      <w:bookmarkEnd w:id="153"/>
      <w:bookmarkEnd w:id="154"/>
    </w:p>
    <w:p w14:paraId="3B3945FC" w14:textId="2AC4A953" w:rsidR="00DB6009" w:rsidRDefault="00DB6009" w:rsidP="00DB6009">
      <w:r>
        <w:t xml:space="preserve">Dick Fowler </w:t>
      </w:r>
      <w:r w:rsidR="00A06DE8">
        <w:t>supplied</w:t>
      </w:r>
      <w:r>
        <w:t xml:space="preserve"> the information and the prompt that equipped and caused me to undertake this research.</w:t>
      </w:r>
    </w:p>
    <w:p w14:paraId="1F3EB548" w14:textId="33A8D096" w:rsidR="00DB6009" w:rsidRDefault="001D56FB" w:rsidP="00DB6009">
      <w:r>
        <w:t xml:space="preserve">WhatDoTheyKnow.com </w:t>
      </w:r>
      <w:r w:rsidR="00A06DE8">
        <w:t>supplied</w:t>
      </w:r>
      <w:r>
        <w:t xml:space="preserve"> the means to send and track the </w:t>
      </w:r>
      <w:r w:rsidR="00F92FEC">
        <w:t>1,100</w:t>
      </w:r>
      <w:r>
        <w:t>+ Freedom of Information requests sent in this study. (Full disclosure: I am an administrator of WhatDoTheyKnow.)</w:t>
      </w:r>
    </w:p>
    <w:p w14:paraId="43BD51BD" w14:textId="1BD90735" w:rsidR="001D56FB" w:rsidRDefault="001D56FB" w:rsidP="00DB6009">
      <w:r>
        <w:t xml:space="preserve">Freedom of Information Officers and Taxi Licensing Officers up and down the country </w:t>
      </w:r>
      <w:r w:rsidR="00A06DE8">
        <w:t>supplied</w:t>
      </w:r>
      <w:r>
        <w:t xml:space="preserve"> the information on which this study is based, on top of all their other work. I am grateful.</w:t>
      </w:r>
    </w:p>
    <w:p w14:paraId="50F59D8B" w14:textId="4C17F48C" w:rsidR="00DB6009" w:rsidRDefault="00DB6009" w:rsidP="00DB6009">
      <w:r>
        <w:t>Emma Vogelmann, Trailbl</w:t>
      </w:r>
      <w:r w:rsidR="003B5BC0">
        <w:t xml:space="preserve">azers, Transport for All </w:t>
      </w:r>
      <w:r>
        <w:t xml:space="preserve">and other disabled people and their organisations have </w:t>
      </w:r>
      <w:r w:rsidR="00A06DE8">
        <w:t>supplied</w:t>
      </w:r>
      <w:r w:rsidR="0083423C">
        <w:t xml:space="preserve"> information, </w:t>
      </w:r>
      <w:r>
        <w:t>campaigned in the area and spurred me on in this research.</w:t>
      </w:r>
    </w:p>
    <w:p w14:paraId="79A9CE2F" w14:textId="615CE882" w:rsidR="00DB6009" w:rsidRDefault="00F92FEC" w:rsidP="00DB6009">
      <w:r>
        <w:t xml:space="preserve">Andrew Mickel of Muscular Dystrophy UK, and </w:t>
      </w:r>
      <w:r w:rsidR="00DB6009">
        <w:t>John Pring of the Disability News Service</w:t>
      </w:r>
      <w:r>
        <w:t>,</w:t>
      </w:r>
      <w:r w:rsidR="00DB6009">
        <w:t xml:space="preserve"> covered earl</w:t>
      </w:r>
      <w:r>
        <w:t>ier</w:t>
      </w:r>
      <w:r w:rsidR="00DB6009">
        <w:t xml:space="preserve"> results from this study, as did journalists at the One Show and You and Yours.</w:t>
      </w:r>
    </w:p>
    <w:p w14:paraId="4450B38B" w14:textId="01F9F7EF" w:rsidR="002B0456" w:rsidRDefault="002B0456" w:rsidP="00DB6009">
      <w:r>
        <w:t>Stuart Paulley proofread this report.</w:t>
      </w:r>
    </w:p>
    <w:p w14:paraId="5580D5F8" w14:textId="55ADB82A" w:rsidR="00A0289B" w:rsidRDefault="009B519F" w:rsidP="00DB6009">
      <w:r>
        <w:t>Jeff Harvey brought the results to life on my website with an amazing interactive map. Hats off to your skills.</w:t>
      </w:r>
    </w:p>
    <w:p w14:paraId="0257E879" w14:textId="77777777" w:rsidR="001D56FB" w:rsidRDefault="001D56FB" w:rsidP="00DB6009">
      <w:r>
        <w:t>The Equality Act 2010 and Disability committee browbeat the Department for Transport into commencing sections 165-167 of the Equality Act in the first place and have expressed an interest in the results of this study.</w:t>
      </w:r>
    </w:p>
    <w:p w14:paraId="017E2621" w14:textId="25091541" w:rsidR="001D56FB" w:rsidRDefault="00DB6009" w:rsidP="003B1F6D">
      <w:r>
        <w:t>The Department for Transport, Transport Scotlan</w:t>
      </w:r>
      <w:r w:rsidR="001D56FB">
        <w:t xml:space="preserve">d and the Office for National Statistics </w:t>
      </w:r>
      <w:r w:rsidR="00D43B1E">
        <w:t>pu</w:t>
      </w:r>
      <w:r w:rsidR="002A4449">
        <w:t>bl</w:t>
      </w:r>
      <w:r w:rsidR="00D43B1E">
        <w:t xml:space="preserve">ished </w:t>
      </w:r>
      <w:r w:rsidR="00B05120">
        <w:t>data</w:t>
      </w:r>
      <w:r w:rsidR="001D56FB">
        <w:t xml:space="preserve"> </w:t>
      </w:r>
      <w:r w:rsidR="006A5E60">
        <w:t xml:space="preserve">used in </w:t>
      </w:r>
      <w:r w:rsidR="001D56FB">
        <w:t xml:space="preserve">this study. </w:t>
      </w:r>
    </w:p>
    <w:p w14:paraId="5F896DFF" w14:textId="77777777" w:rsidR="001D56FB" w:rsidRDefault="001D56FB" w:rsidP="00DB6009">
      <w:r>
        <w:t>I am grateful to them all.</w:t>
      </w:r>
    </w:p>
    <w:p w14:paraId="364DAE57" w14:textId="1C42E665" w:rsidR="001D56FB" w:rsidRDefault="001D56FB" w:rsidP="007865A5">
      <w:pPr>
        <w:pStyle w:val="Heading2"/>
        <w:numPr>
          <w:ilvl w:val="0"/>
          <w:numId w:val="0"/>
        </w:numPr>
        <w:ind w:left="720"/>
      </w:pPr>
      <w:bookmarkStart w:id="155" w:name="_Toc488088805"/>
      <w:bookmarkStart w:id="156" w:name="_Toc488093193"/>
      <w:bookmarkStart w:id="157" w:name="_Toc525414016"/>
      <w:r>
        <w:t xml:space="preserve">Appendix </w:t>
      </w:r>
      <w:r w:rsidR="009B0A88">
        <w:t>3</w:t>
      </w:r>
      <w:r>
        <w:t>: Licensing</w:t>
      </w:r>
      <w:bookmarkEnd w:id="155"/>
      <w:bookmarkEnd w:id="156"/>
      <w:bookmarkEnd w:id="157"/>
    </w:p>
    <w:p w14:paraId="632F8781" w14:textId="52A39BDF" w:rsidR="00D1119D" w:rsidRDefault="00A75E60" w:rsidP="00D1119D">
      <w:pPr>
        <w:jc w:val="left"/>
      </w:pPr>
      <w:r w:rsidRPr="001D56FB">
        <w:rPr>
          <w:noProof/>
        </w:rPr>
        <w:drawing>
          <wp:anchor distT="0" distB="0" distL="114300" distR="114300" simplePos="0" relativeHeight="251656192" behindDoc="1" locked="0" layoutInCell="1" allowOverlap="1" wp14:anchorId="37643AA6" wp14:editId="30627606">
            <wp:simplePos x="0" y="0"/>
            <wp:positionH relativeFrom="column">
              <wp:posOffset>4114800</wp:posOffset>
            </wp:positionH>
            <wp:positionV relativeFrom="paragraph">
              <wp:posOffset>165100</wp:posOffset>
            </wp:positionV>
            <wp:extent cx="1628775" cy="569595"/>
            <wp:effectExtent l="0" t="0" r="9525" b="1905"/>
            <wp:wrapSquare wrapText="bothSides"/>
            <wp:docPr id="49" name="Graphic 49" descr="Reads: CC BY SA" title="Creative Commons Attribution-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628775" cy="569595"/>
                    </a:xfrm>
                    <a:prstGeom prst="rect">
                      <a:avLst/>
                    </a:prstGeom>
                  </pic:spPr>
                </pic:pic>
              </a:graphicData>
            </a:graphic>
          </wp:anchor>
        </w:drawing>
      </w:r>
      <w:r w:rsidR="00D1119D">
        <w:t>Except for the public-sector information as below, t</w:t>
      </w:r>
      <w:r w:rsidR="00D1119D" w:rsidRPr="00135FF0">
        <w:t>his work</w:t>
      </w:r>
      <w:r w:rsidR="00D1119D">
        <w:t xml:space="preserve"> “</w:t>
      </w:r>
      <w:r w:rsidR="00D1119D" w:rsidRPr="003954F6">
        <w:t>Licensing authorities’ approach to the Equality Act 2010 provisions on taxi wheelchair discrimination</w:t>
      </w:r>
      <w:r w:rsidR="00D1119D">
        <w:t xml:space="preserve">” by Doug Paulley </w:t>
      </w:r>
      <w:r w:rsidR="00D1119D" w:rsidRPr="00135FF0">
        <w:t xml:space="preserve">is licensed under the Creative Commons Attribution-ShareAlike 4.0 International License. To view a copy of this license, visit </w:t>
      </w:r>
      <w:r w:rsidR="00D1119D">
        <w:t>http://creativecommons.org/licenses/by-sa/4.0/</w:t>
      </w:r>
      <w:r w:rsidR="00D1119D" w:rsidRPr="00135FF0">
        <w:t>.</w:t>
      </w:r>
    </w:p>
    <w:p w14:paraId="5CB52BEC" w14:textId="1E3B48AF" w:rsidR="003954F6" w:rsidRDefault="00135FF0" w:rsidP="00D1119D">
      <w:r w:rsidRPr="00135FF0">
        <w:t xml:space="preserve">Contains public sector information licensed under the Open Government </w:t>
      </w:r>
      <w:r w:rsidR="007C0EB1" w:rsidRPr="00135FF0">
        <w:t>License</w:t>
      </w:r>
      <w:r w:rsidRPr="00135FF0">
        <w:t xml:space="preserve"> v3.0. </w:t>
      </w:r>
      <w:r w:rsidR="00C00560" w:rsidRPr="002A0182">
        <w:t>http://www.nationalarchives.gov.uk/doc/open-government-licence/version/3/</w:t>
      </w:r>
    </w:p>
    <w:p w14:paraId="0FBF537E" w14:textId="4922225B" w:rsidR="00C00560" w:rsidRDefault="00C00560">
      <w:pPr>
        <w:spacing w:after="0" w:line="240" w:lineRule="auto"/>
        <w:jc w:val="left"/>
      </w:pPr>
      <w:r>
        <w:br w:type="page"/>
      </w:r>
    </w:p>
    <w:p w14:paraId="3D8CD4A6" w14:textId="31163AB5" w:rsidR="007865A5" w:rsidRDefault="00C00560" w:rsidP="007865A5">
      <w:pPr>
        <w:pStyle w:val="Heading2"/>
        <w:numPr>
          <w:ilvl w:val="0"/>
          <w:numId w:val="0"/>
        </w:numPr>
        <w:ind w:left="720"/>
      </w:pPr>
      <w:bookmarkStart w:id="158" w:name="_Toc488088806"/>
      <w:bookmarkStart w:id="159" w:name="_Toc488093194"/>
      <w:bookmarkStart w:id="160" w:name="_Toc525414017"/>
      <w:r>
        <w:lastRenderedPageBreak/>
        <w:t>Appendix</w:t>
      </w:r>
      <w:r w:rsidR="009B0A88">
        <w:t xml:space="preserve"> 4</w:t>
      </w:r>
      <w:r>
        <w:t>: List</w:t>
      </w:r>
      <w:r w:rsidR="007865A5">
        <w:t>s</w:t>
      </w:r>
      <w:r>
        <w:t xml:space="preserve"> of </w:t>
      </w:r>
      <w:r w:rsidR="007865A5">
        <w:t xml:space="preserve">Tables, </w:t>
      </w:r>
      <w:r>
        <w:t>Figures</w:t>
      </w:r>
      <w:r w:rsidR="007865A5">
        <w:t xml:space="preserve"> and Maps</w:t>
      </w:r>
      <w:bookmarkEnd w:id="158"/>
      <w:bookmarkEnd w:id="159"/>
      <w:bookmarkEnd w:id="160"/>
    </w:p>
    <w:p w14:paraId="1E99081F" w14:textId="1FCDAF05" w:rsidR="007865A5" w:rsidRDefault="007865A5" w:rsidP="007865A5">
      <w:pPr>
        <w:pStyle w:val="Heading3"/>
      </w:pPr>
      <w:bookmarkStart w:id="161" w:name="_Toc488088807"/>
      <w:bookmarkStart w:id="162" w:name="_Toc488093195"/>
      <w:bookmarkStart w:id="163" w:name="_Toc525414018"/>
      <w:r>
        <w:t>Tables</w:t>
      </w:r>
      <w:bookmarkEnd w:id="161"/>
      <w:bookmarkEnd w:id="162"/>
      <w:bookmarkEnd w:id="163"/>
    </w:p>
    <w:p w14:paraId="11A944FE" w14:textId="275EFE39" w:rsidR="002B0456" w:rsidRDefault="007865A5">
      <w:pPr>
        <w:pStyle w:val="TableofFigures"/>
        <w:tabs>
          <w:tab w:val="right" w:leader="dot" w:pos="9017"/>
        </w:tabs>
        <w:rPr>
          <w:rFonts w:eastAsiaTheme="minorEastAsia" w:cstheme="minorBidi"/>
          <w:b w:val="0"/>
          <w:bCs w:val="0"/>
          <w:noProof/>
          <w:sz w:val="22"/>
          <w:szCs w:val="22"/>
          <w:lang w:eastAsia="en-GB"/>
        </w:rPr>
      </w:pPr>
      <w:r>
        <w:fldChar w:fldCharType="begin"/>
      </w:r>
      <w:r>
        <w:instrText xml:space="preserve"> TOC \h \z \c "Table" </w:instrText>
      </w:r>
      <w:r>
        <w:fldChar w:fldCharType="separate"/>
      </w:r>
      <w:hyperlink w:anchor="_Toc525406992" w:history="1">
        <w:r w:rsidR="002B0456" w:rsidRPr="005E75EE">
          <w:rPr>
            <w:rStyle w:val="Hyperlink"/>
            <w:noProof/>
          </w:rPr>
          <w:t>Table 1 - S167 grade</w:t>
        </w:r>
        <w:r w:rsidR="002B0456">
          <w:rPr>
            <w:noProof/>
            <w:webHidden/>
          </w:rPr>
          <w:tab/>
        </w:r>
        <w:r w:rsidR="002B0456">
          <w:rPr>
            <w:noProof/>
            <w:webHidden/>
          </w:rPr>
          <w:fldChar w:fldCharType="begin"/>
        </w:r>
        <w:r w:rsidR="002B0456">
          <w:rPr>
            <w:noProof/>
            <w:webHidden/>
          </w:rPr>
          <w:instrText xml:space="preserve"> PAGEREF _Toc525406992 \h </w:instrText>
        </w:r>
        <w:r w:rsidR="002B0456">
          <w:rPr>
            <w:noProof/>
            <w:webHidden/>
          </w:rPr>
        </w:r>
        <w:r w:rsidR="002B0456">
          <w:rPr>
            <w:noProof/>
            <w:webHidden/>
          </w:rPr>
          <w:fldChar w:fldCharType="separate"/>
        </w:r>
        <w:r w:rsidR="00247F48">
          <w:rPr>
            <w:noProof/>
            <w:webHidden/>
          </w:rPr>
          <w:t>7</w:t>
        </w:r>
        <w:r w:rsidR="002B0456">
          <w:rPr>
            <w:noProof/>
            <w:webHidden/>
          </w:rPr>
          <w:fldChar w:fldCharType="end"/>
        </w:r>
      </w:hyperlink>
    </w:p>
    <w:p w14:paraId="25C89054" w14:textId="2AF1B902"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6993" w:history="1">
        <w:r w:rsidR="002B0456" w:rsidRPr="005E75EE">
          <w:rPr>
            <w:rStyle w:val="Hyperlink"/>
            <w:noProof/>
          </w:rPr>
          <w:t>Table 2 – S167 intent</w:t>
        </w:r>
        <w:r w:rsidR="002B0456">
          <w:rPr>
            <w:noProof/>
            <w:webHidden/>
          </w:rPr>
          <w:tab/>
        </w:r>
        <w:r w:rsidR="002B0456">
          <w:rPr>
            <w:noProof/>
            <w:webHidden/>
          </w:rPr>
          <w:fldChar w:fldCharType="begin"/>
        </w:r>
        <w:r w:rsidR="002B0456">
          <w:rPr>
            <w:noProof/>
            <w:webHidden/>
          </w:rPr>
          <w:instrText xml:space="preserve"> PAGEREF _Toc525406993 \h </w:instrText>
        </w:r>
        <w:r w:rsidR="002B0456">
          <w:rPr>
            <w:noProof/>
            <w:webHidden/>
          </w:rPr>
        </w:r>
        <w:r w:rsidR="002B0456">
          <w:rPr>
            <w:noProof/>
            <w:webHidden/>
          </w:rPr>
          <w:fldChar w:fldCharType="separate"/>
        </w:r>
        <w:r w:rsidR="00247F48">
          <w:rPr>
            <w:noProof/>
            <w:webHidden/>
          </w:rPr>
          <w:t>7</w:t>
        </w:r>
        <w:r w:rsidR="002B0456">
          <w:rPr>
            <w:noProof/>
            <w:webHidden/>
          </w:rPr>
          <w:fldChar w:fldCharType="end"/>
        </w:r>
      </w:hyperlink>
    </w:p>
    <w:p w14:paraId="1A55A801" w14:textId="1523A6EB"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6994" w:history="1">
        <w:r w:rsidR="002B0456" w:rsidRPr="005E75EE">
          <w:rPr>
            <w:rStyle w:val="Hyperlink"/>
            <w:noProof/>
          </w:rPr>
          <w:t>Table 3 - GB S167 status</w:t>
        </w:r>
        <w:r w:rsidR="002B0456">
          <w:rPr>
            <w:noProof/>
            <w:webHidden/>
          </w:rPr>
          <w:tab/>
        </w:r>
        <w:r w:rsidR="002B0456">
          <w:rPr>
            <w:noProof/>
            <w:webHidden/>
          </w:rPr>
          <w:fldChar w:fldCharType="begin"/>
        </w:r>
        <w:r w:rsidR="002B0456">
          <w:rPr>
            <w:noProof/>
            <w:webHidden/>
          </w:rPr>
          <w:instrText xml:space="preserve"> PAGEREF _Toc525406994 \h </w:instrText>
        </w:r>
        <w:r w:rsidR="002B0456">
          <w:rPr>
            <w:noProof/>
            <w:webHidden/>
          </w:rPr>
        </w:r>
        <w:r w:rsidR="002B0456">
          <w:rPr>
            <w:noProof/>
            <w:webHidden/>
          </w:rPr>
          <w:fldChar w:fldCharType="separate"/>
        </w:r>
        <w:r w:rsidR="00247F48">
          <w:rPr>
            <w:noProof/>
            <w:webHidden/>
          </w:rPr>
          <w:t>10</w:t>
        </w:r>
        <w:r w:rsidR="002B0456">
          <w:rPr>
            <w:noProof/>
            <w:webHidden/>
          </w:rPr>
          <w:fldChar w:fldCharType="end"/>
        </w:r>
      </w:hyperlink>
    </w:p>
    <w:p w14:paraId="631AFEC2" w14:textId="5BE579A0"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6995" w:history="1">
        <w:r w:rsidR="002B0456" w:rsidRPr="005E75EE">
          <w:rPr>
            <w:rStyle w:val="Hyperlink"/>
            <w:noProof/>
          </w:rPr>
          <w:t>Table 4 – Constituent countries S167 status</w:t>
        </w:r>
        <w:r w:rsidR="002B0456">
          <w:rPr>
            <w:noProof/>
            <w:webHidden/>
          </w:rPr>
          <w:tab/>
        </w:r>
        <w:r w:rsidR="002B0456">
          <w:rPr>
            <w:noProof/>
            <w:webHidden/>
          </w:rPr>
          <w:fldChar w:fldCharType="begin"/>
        </w:r>
        <w:r w:rsidR="002B0456">
          <w:rPr>
            <w:noProof/>
            <w:webHidden/>
          </w:rPr>
          <w:instrText xml:space="preserve"> PAGEREF _Toc525406995 \h </w:instrText>
        </w:r>
        <w:r w:rsidR="002B0456">
          <w:rPr>
            <w:noProof/>
            <w:webHidden/>
          </w:rPr>
        </w:r>
        <w:r w:rsidR="002B0456">
          <w:rPr>
            <w:noProof/>
            <w:webHidden/>
          </w:rPr>
          <w:fldChar w:fldCharType="separate"/>
        </w:r>
        <w:r w:rsidR="00247F48">
          <w:rPr>
            <w:noProof/>
            <w:webHidden/>
          </w:rPr>
          <w:t>10</w:t>
        </w:r>
        <w:r w:rsidR="002B0456">
          <w:rPr>
            <w:noProof/>
            <w:webHidden/>
          </w:rPr>
          <w:fldChar w:fldCharType="end"/>
        </w:r>
      </w:hyperlink>
    </w:p>
    <w:p w14:paraId="1DAC54DC" w14:textId="48B2EE66"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6996" w:history="1">
        <w:r w:rsidR="002B0456" w:rsidRPr="005E75EE">
          <w:rPr>
            <w:rStyle w:val="Hyperlink"/>
            <w:noProof/>
          </w:rPr>
          <w:t>Table 5 – GB S167 grades</w:t>
        </w:r>
        <w:r w:rsidR="002B0456">
          <w:rPr>
            <w:noProof/>
            <w:webHidden/>
          </w:rPr>
          <w:tab/>
        </w:r>
        <w:r w:rsidR="002B0456">
          <w:rPr>
            <w:noProof/>
            <w:webHidden/>
          </w:rPr>
          <w:fldChar w:fldCharType="begin"/>
        </w:r>
        <w:r w:rsidR="002B0456">
          <w:rPr>
            <w:noProof/>
            <w:webHidden/>
          </w:rPr>
          <w:instrText xml:space="preserve"> PAGEREF _Toc525406996 \h </w:instrText>
        </w:r>
        <w:r w:rsidR="002B0456">
          <w:rPr>
            <w:noProof/>
            <w:webHidden/>
          </w:rPr>
        </w:r>
        <w:r w:rsidR="002B0456">
          <w:rPr>
            <w:noProof/>
            <w:webHidden/>
          </w:rPr>
          <w:fldChar w:fldCharType="separate"/>
        </w:r>
        <w:r w:rsidR="00247F48">
          <w:rPr>
            <w:noProof/>
            <w:webHidden/>
          </w:rPr>
          <w:t>12</w:t>
        </w:r>
        <w:r w:rsidR="002B0456">
          <w:rPr>
            <w:noProof/>
            <w:webHidden/>
          </w:rPr>
          <w:fldChar w:fldCharType="end"/>
        </w:r>
      </w:hyperlink>
    </w:p>
    <w:p w14:paraId="7740437A" w14:textId="64AE77F1"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6997" w:history="1">
        <w:r w:rsidR="002B0456" w:rsidRPr="005E75EE">
          <w:rPr>
            <w:rStyle w:val="Hyperlink"/>
            <w:noProof/>
          </w:rPr>
          <w:t>Table 6 – Constituent countries S167 grades</w:t>
        </w:r>
        <w:r w:rsidR="002B0456">
          <w:rPr>
            <w:noProof/>
            <w:webHidden/>
          </w:rPr>
          <w:tab/>
        </w:r>
        <w:r w:rsidR="002B0456">
          <w:rPr>
            <w:noProof/>
            <w:webHidden/>
          </w:rPr>
          <w:fldChar w:fldCharType="begin"/>
        </w:r>
        <w:r w:rsidR="002B0456">
          <w:rPr>
            <w:noProof/>
            <w:webHidden/>
          </w:rPr>
          <w:instrText xml:space="preserve"> PAGEREF _Toc525406997 \h </w:instrText>
        </w:r>
        <w:r w:rsidR="002B0456">
          <w:rPr>
            <w:noProof/>
            <w:webHidden/>
          </w:rPr>
        </w:r>
        <w:r w:rsidR="002B0456">
          <w:rPr>
            <w:noProof/>
            <w:webHidden/>
          </w:rPr>
          <w:fldChar w:fldCharType="separate"/>
        </w:r>
        <w:r w:rsidR="00247F48">
          <w:rPr>
            <w:noProof/>
            <w:webHidden/>
          </w:rPr>
          <w:t>12</w:t>
        </w:r>
        <w:r w:rsidR="002B0456">
          <w:rPr>
            <w:noProof/>
            <w:webHidden/>
          </w:rPr>
          <w:fldChar w:fldCharType="end"/>
        </w:r>
      </w:hyperlink>
    </w:p>
    <w:p w14:paraId="78E4A9CA" w14:textId="1130A150" w:rsidR="007865A5" w:rsidRPr="007865A5" w:rsidRDefault="007865A5" w:rsidP="007865A5">
      <w:pPr>
        <w:pStyle w:val="Heading3"/>
      </w:pPr>
      <w:r>
        <w:fldChar w:fldCharType="end"/>
      </w:r>
      <w:bookmarkStart w:id="164" w:name="_Toc488088808"/>
      <w:bookmarkStart w:id="165" w:name="_Toc488093196"/>
      <w:bookmarkStart w:id="166" w:name="_Toc525414019"/>
      <w:r>
        <w:t>Figures</w:t>
      </w:r>
      <w:bookmarkEnd w:id="164"/>
      <w:bookmarkEnd w:id="165"/>
      <w:bookmarkEnd w:id="166"/>
    </w:p>
    <w:p w14:paraId="45D4E4FF" w14:textId="6A804119" w:rsidR="002B0456" w:rsidRDefault="007865A5">
      <w:pPr>
        <w:pStyle w:val="TableofFigures"/>
        <w:tabs>
          <w:tab w:val="right" w:leader="dot" w:pos="9017"/>
        </w:tabs>
        <w:rPr>
          <w:rFonts w:eastAsiaTheme="minorEastAsia" w:cstheme="minorBidi"/>
          <w:b w:val="0"/>
          <w:bCs w:val="0"/>
          <w:noProof/>
          <w:sz w:val="22"/>
          <w:szCs w:val="22"/>
          <w:lang w:eastAsia="en-GB"/>
        </w:rPr>
      </w:pPr>
      <w:r>
        <w:fldChar w:fldCharType="begin"/>
      </w:r>
      <w:r>
        <w:instrText xml:space="preserve"> TOC \h \z \c "Figure" </w:instrText>
      </w:r>
      <w:r>
        <w:fldChar w:fldCharType="separate"/>
      </w:r>
      <w:hyperlink w:anchor="_Toc525406998" w:history="1">
        <w:r w:rsidR="002B0456" w:rsidRPr="002D4875">
          <w:rPr>
            <w:rStyle w:val="Hyperlink"/>
            <w:noProof/>
          </w:rPr>
          <w:t>Figure 1 –GB S167 status</w:t>
        </w:r>
        <w:r w:rsidR="002B0456">
          <w:rPr>
            <w:noProof/>
            <w:webHidden/>
          </w:rPr>
          <w:tab/>
        </w:r>
        <w:r w:rsidR="002B0456">
          <w:rPr>
            <w:noProof/>
            <w:webHidden/>
          </w:rPr>
          <w:fldChar w:fldCharType="begin"/>
        </w:r>
        <w:r w:rsidR="002B0456">
          <w:rPr>
            <w:noProof/>
            <w:webHidden/>
          </w:rPr>
          <w:instrText xml:space="preserve"> PAGEREF _Toc525406998 \h </w:instrText>
        </w:r>
        <w:r w:rsidR="002B0456">
          <w:rPr>
            <w:noProof/>
            <w:webHidden/>
          </w:rPr>
        </w:r>
        <w:r w:rsidR="002B0456">
          <w:rPr>
            <w:noProof/>
            <w:webHidden/>
          </w:rPr>
          <w:fldChar w:fldCharType="separate"/>
        </w:r>
        <w:r w:rsidR="00247F48">
          <w:rPr>
            <w:noProof/>
            <w:webHidden/>
          </w:rPr>
          <w:t>8</w:t>
        </w:r>
        <w:r w:rsidR="002B0456">
          <w:rPr>
            <w:noProof/>
            <w:webHidden/>
          </w:rPr>
          <w:fldChar w:fldCharType="end"/>
        </w:r>
      </w:hyperlink>
    </w:p>
    <w:p w14:paraId="1361DFE8" w14:textId="357D04A3"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6999" w:history="1">
        <w:r w:rsidR="002B0456" w:rsidRPr="002D4875">
          <w:rPr>
            <w:rStyle w:val="Hyperlink"/>
            <w:noProof/>
          </w:rPr>
          <w:t>Figure 2 – Constituent countries S167 status</w:t>
        </w:r>
        <w:r w:rsidR="002B0456">
          <w:rPr>
            <w:noProof/>
            <w:webHidden/>
          </w:rPr>
          <w:tab/>
        </w:r>
        <w:r w:rsidR="002B0456">
          <w:rPr>
            <w:noProof/>
            <w:webHidden/>
          </w:rPr>
          <w:fldChar w:fldCharType="begin"/>
        </w:r>
        <w:r w:rsidR="002B0456">
          <w:rPr>
            <w:noProof/>
            <w:webHidden/>
          </w:rPr>
          <w:instrText xml:space="preserve"> PAGEREF _Toc525406999 \h </w:instrText>
        </w:r>
        <w:r w:rsidR="002B0456">
          <w:rPr>
            <w:noProof/>
            <w:webHidden/>
          </w:rPr>
        </w:r>
        <w:r w:rsidR="002B0456">
          <w:rPr>
            <w:noProof/>
            <w:webHidden/>
          </w:rPr>
          <w:fldChar w:fldCharType="separate"/>
        </w:r>
        <w:r w:rsidR="00247F48">
          <w:rPr>
            <w:noProof/>
            <w:webHidden/>
          </w:rPr>
          <w:t>10</w:t>
        </w:r>
        <w:r w:rsidR="002B0456">
          <w:rPr>
            <w:noProof/>
            <w:webHidden/>
          </w:rPr>
          <w:fldChar w:fldCharType="end"/>
        </w:r>
      </w:hyperlink>
    </w:p>
    <w:p w14:paraId="2CD795E2" w14:textId="48792BA9"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0" w:history="1">
        <w:r w:rsidR="002B0456" w:rsidRPr="002D4875">
          <w:rPr>
            <w:rStyle w:val="Hyperlink"/>
            <w:noProof/>
          </w:rPr>
          <w:t>Figure 3 – Authorities with 100% accessible taxi fleets: approach to S167</w:t>
        </w:r>
        <w:r w:rsidR="002B0456">
          <w:rPr>
            <w:noProof/>
            <w:webHidden/>
          </w:rPr>
          <w:tab/>
        </w:r>
        <w:r w:rsidR="002B0456">
          <w:rPr>
            <w:noProof/>
            <w:webHidden/>
          </w:rPr>
          <w:fldChar w:fldCharType="begin"/>
        </w:r>
        <w:r w:rsidR="002B0456">
          <w:rPr>
            <w:noProof/>
            <w:webHidden/>
          </w:rPr>
          <w:instrText xml:space="preserve"> PAGEREF _Toc525407000 \h </w:instrText>
        </w:r>
        <w:r w:rsidR="002B0456">
          <w:rPr>
            <w:noProof/>
            <w:webHidden/>
          </w:rPr>
        </w:r>
        <w:r w:rsidR="002B0456">
          <w:rPr>
            <w:noProof/>
            <w:webHidden/>
          </w:rPr>
          <w:fldChar w:fldCharType="separate"/>
        </w:r>
        <w:r w:rsidR="00247F48">
          <w:rPr>
            <w:noProof/>
            <w:webHidden/>
          </w:rPr>
          <w:t>10</w:t>
        </w:r>
        <w:r w:rsidR="002B0456">
          <w:rPr>
            <w:noProof/>
            <w:webHidden/>
          </w:rPr>
          <w:fldChar w:fldCharType="end"/>
        </w:r>
      </w:hyperlink>
    </w:p>
    <w:p w14:paraId="659DC755" w14:textId="151EF8FA"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1" w:history="1">
        <w:r w:rsidR="002B0456" w:rsidRPr="002D4875">
          <w:rPr>
            <w:rStyle w:val="Hyperlink"/>
            <w:noProof/>
          </w:rPr>
          <w:t>Figure 4 – GB S167 grades</w:t>
        </w:r>
        <w:r w:rsidR="002B0456">
          <w:rPr>
            <w:noProof/>
            <w:webHidden/>
          </w:rPr>
          <w:tab/>
        </w:r>
        <w:r w:rsidR="002B0456">
          <w:rPr>
            <w:noProof/>
            <w:webHidden/>
          </w:rPr>
          <w:fldChar w:fldCharType="begin"/>
        </w:r>
        <w:r w:rsidR="002B0456">
          <w:rPr>
            <w:noProof/>
            <w:webHidden/>
          </w:rPr>
          <w:instrText xml:space="preserve"> PAGEREF _Toc525407001 \h </w:instrText>
        </w:r>
        <w:r w:rsidR="002B0456">
          <w:rPr>
            <w:noProof/>
            <w:webHidden/>
          </w:rPr>
        </w:r>
        <w:r w:rsidR="002B0456">
          <w:rPr>
            <w:noProof/>
            <w:webHidden/>
          </w:rPr>
          <w:fldChar w:fldCharType="separate"/>
        </w:r>
        <w:r w:rsidR="00247F48">
          <w:rPr>
            <w:noProof/>
            <w:webHidden/>
          </w:rPr>
          <w:t>11</w:t>
        </w:r>
        <w:r w:rsidR="002B0456">
          <w:rPr>
            <w:noProof/>
            <w:webHidden/>
          </w:rPr>
          <w:fldChar w:fldCharType="end"/>
        </w:r>
      </w:hyperlink>
    </w:p>
    <w:p w14:paraId="70F4E59D" w14:textId="6C93C5A3"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2" w:history="1">
        <w:r w:rsidR="002B0456" w:rsidRPr="002D4875">
          <w:rPr>
            <w:rStyle w:val="Hyperlink"/>
            <w:noProof/>
          </w:rPr>
          <w:t>Figure 5 – Constituent countries S167 grades</w:t>
        </w:r>
        <w:r w:rsidR="002B0456">
          <w:rPr>
            <w:noProof/>
            <w:webHidden/>
          </w:rPr>
          <w:tab/>
        </w:r>
        <w:r w:rsidR="002B0456">
          <w:rPr>
            <w:noProof/>
            <w:webHidden/>
          </w:rPr>
          <w:fldChar w:fldCharType="begin"/>
        </w:r>
        <w:r w:rsidR="002B0456">
          <w:rPr>
            <w:noProof/>
            <w:webHidden/>
          </w:rPr>
          <w:instrText xml:space="preserve"> PAGEREF _Toc525407002 \h </w:instrText>
        </w:r>
        <w:r w:rsidR="002B0456">
          <w:rPr>
            <w:noProof/>
            <w:webHidden/>
          </w:rPr>
        </w:r>
        <w:r w:rsidR="002B0456">
          <w:rPr>
            <w:noProof/>
            <w:webHidden/>
          </w:rPr>
          <w:fldChar w:fldCharType="separate"/>
        </w:r>
        <w:r w:rsidR="00247F48">
          <w:rPr>
            <w:noProof/>
            <w:webHidden/>
          </w:rPr>
          <w:t>12</w:t>
        </w:r>
        <w:r w:rsidR="002B0456">
          <w:rPr>
            <w:noProof/>
            <w:webHidden/>
          </w:rPr>
          <w:fldChar w:fldCharType="end"/>
        </w:r>
      </w:hyperlink>
    </w:p>
    <w:p w14:paraId="7E199ACA" w14:textId="55E4C873"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3" w:history="1">
        <w:r w:rsidR="002B0456" w:rsidRPr="002D4875">
          <w:rPr>
            <w:rStyle w:val="Hyperlink"/>
            <w:noProof/>
          </w:rPr>
          <w:t>Figure 6 – Change in UK S167 implementation</w:t>
        </w:r>
        <w:r w:rsidR="002B0456">
          <w:rPr>
            <w:noProof/>
            <w:webHidden/>
          </w:rPr>
          <w:tab/>
        </w:r>
        <w:r w:rsidR="002B0456">
          <w:rPr>
            <w:noProof/>
            <w:webHidden/>
          </w:rPr>
          <w:fldChar w:fldCharType="begin"/>
        </w:r>
        <w:r w:rsidR="002B0456">
          <w:rPr>
            <w:noProof/>
            <w:webHidden/>
          </w:rPr>
          <w:instrText xml:space="preserve"> PAGEREF _Toc525407003 \h </w:instrText>
        </w:r>
        <w:r w:rsidR="002B0456">
          <w:rPr>
            <w:noProof/>
            <w:webHidden/>
          </w:rPr>
        </w:r>
        <w:r w:rsidR="002B0456">
          <w:rPr>
            <w:noProof/>
            <w:webHidden/>
          </w:rPr>
          <w:fldChar w:fldCharType="separate"/>
        </w:r>
        <w:r w:rsidR="00247F48">
          <w:rPr>
            <w:noProof/>
            <w:webHidden/>
          </w:rPr>
          <w:t>14</w:t>
        </w:r>
        <w:r w:rsidR="002B0456">
          <w:rPr>
            <w:noProof/>
            <w:webHidden/>
          </w:rPr>
          <w:fldChar w:fldCharType="end"/>
        </w:r>
      </w:hyperlink>
    </w:p>
    <w:p w14:paraId="375420CF" w14:textId="7DF496FF"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4" w:history="1">
        <w:r w:rsidR="002B0456" w:rsidRPr="002D4875">
          <w:rPr>
            <w:rStyle w:val="Hyperlink"/>
            <w:noProof/>
          </w:rPr>
          <w:t>Figure 7 –Change in nations’ S167 implementation</w:t>
        </w:r>
        <w:r w:rsidR="002B0456">
          <w:rPr>
            <w:noProof/>
            <w:webHidden/>
          </w:rPr>
          <w:tab/>
        </w:r>
        <w:r w:rsidR="002B0456">
          <w:rPr>
            <w:noProof/>
            <w:webHidden/>
          </w:rPr>
          <w:fldChar w:fldCharType="begin"/>
        </w:r>
        <w:r w:rsidR="002B0456">
          <w:rPr>
            <w:noProof/>
            <w:webHidden/>
          </w:rPr>
          <w:instrText xml:space="preserve"> PAGEREF _Toc525407004 \h </w:instrText>
        </w:r>
        <w:r w:rsidR="002B0456">
          <w:rPr>
            <w:noProof/>
            <w:webHidden/>
          </w:rPr>
        </w:r>
        <w:r w:rsidR="002B0456">
          <w:rPr>
            <w:noProof/>
            <w:webHidden/>
          </w:rPr>
          <w:fldChar w:fldCharType="separate"/>
        </w:r>
        <w:r w:rsidR="00247F48">
          <w:rPr>
            <w:noProof/>
            <w:webHidden/>
          </w:rPr>
          <w:t>15</w:t>
        </w:r>
        <w:r w:rsidR="002B0456">
          <w:rPr>
            <w:noProof/>
            <w:webHidden/>
          </w:rPr>
          <w:fldChar w:fldCharType="end"/>
        </w:r>
      </w:hyperlink>
    </w:p>
    <w:p w14:paraId="317B6E8E" w14:textId="7779BA86"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5" w:history="1">
        <w:r w:rsidR="002B0456" w:rsidRPr="002D4875">
          <w:rPr>
            <w:rStyle w:val="Hyperlink"/>
            <w:noProof/>
          </w:rPr>
          <w:t>Figure 8 – Reasons for failure to implement legislation</w:t>
        </w:r>
        <w:r w:rsidR="002B0456">
          <w:rPr>
            <w:noProof/>
            <w:webHidden/>
          </w:rPr>
          <w:tab/>
        </w:r>
        <w:r w:rsidR="002B0456">
          <w:rPr>
            <w:noProof/>
            <w:webHidden/>
          </w:rPr>
          <w:fldChar w:fldCharType="begin"/>
        </w:r>
        <w:r w:rsidR="002B0456">
          <w:rPr>
            <w:noProof/>
            <w:webHidden/>
          </w:rPr>
          <w:instrText xml:space="preserve"> PAGEREF _Toc525407005 \h </w:instrText>
        </w:r>
        <w:r w:rsidR="002B0456">
          <w:rPr>
            <w:noProof/>
            <w:webHidden/>
          </w:rPr>
        </w:r>
        <w:r w:rsidR="002B0456">
          <w:rPr>
            <w:noProof/>
            <w:webHidden/>
          </w:rPr>
          <w:fldChar w:fldCharType="separate"/>
        </w:r>
        <w:r w:rsidR="00247F48">
          <w:rPr>
            <w:noProof/>
            <w:webHidden/>
          </w:rPr>
          <w:t>16</w:t>
        </w:r>
        <w:r w:rsidR="002B0456">
          <w:rPr>
            <w:noProof/>
            <w:webHidden/>
          </w:rPr>
          <w:fldChar w:fldCharType="end"/>
        </w:r>
      </w:hyperlink>
    </w:p>
    <w:p w14:paraId="674D10C1" w14:textId="505271D1"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6" w:history="1">
        <w:r w:rsidR="002B0456" w:rsidRPr="002D4875">
          <w:rPr>
            <w:rStyle w:val="Hyperlink"/>
            <w:noProof/>
          </w:rPr>
          <w:t>Figure 9 – Authorities’ Approach to Department for Transport Statutory Guidance</w:t>
        </w:r>
        <w:r w:rsidR="002B0456">
          <w:rPr>
            <w:noProof/>
            <w:webHidden/>
          </w:rPr>
          <w:tab/>
        </w:r>
        <w:r w:rsidR="002B0456">
          <w:rPr>
            <w:noProof/>
            <w:webHidden/>
          </w:rPr>
          <w:fldChar w:fldCharType="begin"/>
        </w:r>
        <w:r w:rsidR="002B0456">
          <w:rPr>
            <w:noProof/>
            <w:webHidden/>
          </w:rPr>
          <w:instrText xml:space="preserve"> PAGEREF _Toc525407006 \h </w:instrText>
        </w:r>
        <w:r w:rsidR="002B0456">
          <w:rPr>
            <w:noProof/>
            <w:webHidden/>
          </w:rPr>
        </w:r>
        <w:r w:rsidR="002B0456">
          <w:rPr>
            <w:noProof/>
            <w:webHidden/>
          </w:rPr>
          <w:fldChar w:fldCharType="separate"/>
        </w:r>
        <w:r w:rsidR="00247F48">
          <w:rPr>
            <w:noProof/>
            <w:webHidden/>
          </w:rPr>
          <w:t>17</w:t>
        </w:r>
        <w:r w:rsidR="002B0456">
          <w:rPr>
            <w:noProof/>
            <w:webHidden/>
          </w:rPr>
          <w:fldChar w:fldCharType="end"/>
        </w:r>
      </w:hyperlink>
    </w:p>
    <w:p w14:paraId="1288ADC8" w14:textId="496B7E96"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7" w:history="1">
        <w:r w:rsidR="002B0456" w:rsidRPr="002D4875">
          <w:rPr>
            <w:rStyle w:val="Hyperlink"/>
            <w:noProof/>
          </w:rPr>
          <w:t>Figure 10 – Medical Exemptions per Authority and per Accessible Taxi</w:t>
        </w:r>
        <w:r w:rsidR="002B0456">
          <w:rPr>
            <w:noProof/>
            <w:webHidden/>
          </w:rPr>
          <w:tab/>
        </w:r>
        <w:r w:rsidR="002B0456">
          <w:rPr>
            <w:noProof/>
            <w:webHidden/>
          </w:rPr>
          <w:fldChar w:fldCharType="begin"/>
        </w:r>
        <w:r w:rsidR="002B0456">
          <w:rPr>
            <w:noProof/>
            <w:webHidden/>
          </w:rPr>
          <w:instrText xml:space="preserve"> PAGEREF _Toc525407007 \h </w:instrText>
        </w:r>
        <w:r w:rsidR="002B0456">
          <w:rPr>
            <w:noProof/>
            <w:webHidden/>
          </w:rPr>
        </w:r>
        <w:r w:rsidR="002B0456">
          <w:rPr>
            <w:noProof/>
            <w:webHidden/>
          </w:rPr>
          <w:fldChar w:fldCharType="separate"/>
        </w:r>
        <w:r w:rsidR="00247F48">
          <w:rPr>
            <w:noProof/>
            <w:webHidden/>
          </w:rPr>
          <w:t>18</w:t>
        </w:r>
        <w:r w:rsidR="002B0456">
          <w:rPr>
            <w:noProof/>
            <w:webHidden/>
          </w:rPr>
          <w:fldChar w:fldCharType="end"/>
        </w:r>
      </w:hyperlink>
    </w:p>
    <w:p w14:paraId="207F9A30" w14:textId="3806E9BC"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08" w:history="1">
        <w:r w:rsidR="002B0456" w:rsidRPr="002D4875">
          <w:rPr>
            <w:rStyle w:val="Hyperlink"/>
            <w:noProof/>
          </w:rPr>
          <w:t>Figure 11 – Procedures for Medical Exemption under S166</w:t>
        </w:r>
        <w:r w:rsidR="002B0456">
          <w:rPr>
            <w:noProof/>
            <w:webHidden/>
          </w:rPr>
          <w:tab/>
        </w:r>
        <w:r w:rsidR="002B0456">
          <w:rPr>
            <w:noProof/>
            <w:webHidden/>
          </w:rPr>
          <w:fldChar w:fldCharType="begin"/>
        </w:r>
        <w:r w:rsidR="002B0456">
          <w:rPr>
            <w:noProof/>
            <w:webHidden/>
          </w:rPr>
          <w:instrText xml:space="preserve"> PAGEREF _Toc525407008 \h </w:instrText>
        </w:r>
        <w:r w:rsidR="002B0456">
          <w:rPr>
            <w:noProof/>
            <w:webHidden/>
          </w:rPr>
        </w:r>
        <w:r w:rsidR="002B0456">
          <w:rPr>
            <w:noProof/>
            <w:webHidden/>
          </w:rPr>
          <w:fldChar w:fldCharType="separate"/>
        </w:r>
        <w:r w:rsidR="00247F48">
          <w:rPr>
            <w:noProof/>
            <w:webHidden/>
          </w:rPr>
          <w:t>20</w:t>
        </w:r>
        <w:r w:rsidR="002B0456">
          <w:rPr>
            <w:noProof/>
            <w:webHidden/>
          </w:rPr>
          <w:fldChar w:fldCharType="end"/>
        </w:r>
      </w:hyperlink>
    </w:p>
    <w:p w14:paraId="4E359258" w14:textId="55CD7380" w:rsidR="007865A5" w:rsidRDefault="007865A5" w:rsidP="007865A5">
      <w:pPr>
        <w:pStyle w:val="Heading3"/>
      </w:pPr>
      <w:r>
        <w:fldChar w:fldCharType="end"/>
      </w:r>
      <w:bookmarkStart w:id="167" w:name="_Toc488088809"/>
      <w:bookmarkStart w:id="168" w:name="_Toc488093197"/>
      <w:bookmarkStart w:id="169" w:name="_Toc525414020"/>
      <w:r>
        <w:t>Maps</w:t>
      </w:r>
      <w:bookmarkEnd w:id="167"/>
      <w:bookmarkEnd w:id="168"/>
      <w:bookmarkEnd w:id="169"/>
    </w:p>
    <w:p w14:paraId="26C1AAE8" w14:textId="702B15D9" w:rsidR="002B0456" w:rsidRDefault="007865A5">
      <w:pPr>
        <w:pStyle w:val="TableofFigures"/>
        <w:tabs>
          <w:tab w:val="right" w:leader="dot" w:pos="9017"/>
        </w:tabs>
        <w:rPr>
          <w:rFonts w:eastAsiaTheme="minorEastAsia" w:cstheme="minorBidi"/>
          <w:b w:val="0"/>
          <w:bCs w:val="0"/>
          <w:noProof/>
          <w:sz w:val="22"/>
          <w:szCs w:val="22"/>
          <w:lang w:eastAsia="en-GB"/>
        </w:rPr>
      </w:pPr>
      <w:r>
        <w:fldChar w:fldCharType="begin"/>
      </w:r>
      <w:r>
        <w:instrText xml:space="preserve"> TOC \h \z \c "Map " </w:instrText>
      </w:r>
      <w:r>
        <w:fldChar w:fldCharType="separate"/>
      </w:r>
      <w:hyperlink w:anchor="_Toc525407009" w:history="1">
        <w:r w:rsidR="002B0456" w:rsidRPr="00F64289">
          <w:rPr>
            <w:rStyle w:val="Hyperlink"/>
            <w:noProof/>
          </w:rPr>
          <w:t>Map  1 - Map of S167 intent</w:t>
        </w:r>
        <w:r w:rsidR="002B0456">
          <w:rPr>
            <w:noProof/>
            <w:webHidden/>
          </w:rPr>
          <w:tab/>
        </w:r>
        <w:r w:rsidR="002B0456">
          <w:rPr>
            <w:noProof/>
            <w:webHidden/>
          </w:rPr>
          <w:fldChar w:fldCharType="begin"/>
        </w:r>
        <w:r w:rsidR="002B0456">
          <w:rPr>
            <w:noProof/>
            <w:webHidden/>
          </w:rPr>
          <w:instrText xml:space="preserve"> PAGEREF _Toc525407009 \h </w:instrText>
        </w:r>
        <w:r w:rsidR="002B0456">
          <w:rPr>
            <w:noProof/>
            <w:webHidden/>
          </w:rPr>
        </w:r>
        <w:r w:rsidR="002B0456">
          <w:rPr>
            <w:noProof/>
            <w:webHidden/>
          </w:rPr>
          <w:fldChar w:fldCharType="separate"/>
        </w:r>
        <w:r w:rsidR="00247F48">
          <w:rPr>
            <w:noProof/>
            <w:webHidden/>
          </w:rPr>
          <w:t>9</w:t>
        </w:r>
        <w:r w:rsidR="002B0456">
          <w:rPr>
            <w:noProof/>
            <w:webHidden/>
          </w:rPr>
          <w:fldChar w:fldCharType="end"/>
        </w:r>
      </w:hyperlink>
    </w:p>
    <w:p w14:paraId="6EC65747" w14:textId="463449D4"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10" w:history="1">
        <w:r w:rsidR="002B0456" w:rsidRPr="00F64289">
          <w:rPr>
            <w:rStyle w:val="Hyperlink"/>
            <w:noProof/>
          </w:rPr>
          <w:t>Map  2 – S167 grades</w:t>
        </w:r>
        <w:r w:rsidR="002B0456">
          <w:rPr>
            <w:noProof/>
            <w:webHidden/>
          </w:rPr>
          <w:tab/>
        </w:r>
        <w:r w:rsidR="002B0456">
          <w:rPr>
            <w:noProof/>
            <w:webHidden/>
          </w:rPr>
          <w:fldChar w:fldCharType="begin"/>
        </w:r>
        <w:r w:rsidR="002B0456">
          <w:rPr>
            <w:noProof/>
            <w:webHidden/>
          </w:rPr>
          <w:instrText xml:space="preserve"> PAGEREF _Toc525407010 \h </w:instrText>
        </w:r>
        <w:r w:rsidR="002B0456">
          <w:rPr>
            <w:noProof/>
            <w:webHidden/>
          </w:rPr>
        </w:r>
        <w:r w:rsidR="002B0456">
          <w:rPr>
            <w:noProof/>
            <w:webHidden/>
          </w:rPr>
          <w:fldChar w:fldCharType="separate"/>
        </w:r>
        <w:r w:rsidR="00247F48">
          <w:rPr>
            <w:noProof/>
            <w:webHidden/>
          </w:rPr>
          <w:t>13</w:t>
        </w:r>
        <w:r w:rsidR="002B0456">
          <w:rPr>
            <w:noProof/>
            <w:webHidden/>
          </w:rPr>
          <w:fldChar w:fldCharType="end"/>
        </w:r>
      </w:hyperlink>
    </w:p>
    <w:p w14:paraId="4A0F2632" w14:textId="4A8FB14E" w:rsidR="002B0456" w:rsidRDefault="00EC5565">
      <w:pPr>
        <w:pStyle w:val="TableofFigures"/>
        <w:tabs>
          <w:tab w:val="right" w:leader="dot" w:pos="9017"/>
        </w:tabs>
        <w:rPr>
          <w:rFonts w:eastAsiaTheme="minorEastAsia" w:cstheme="minorBidi"/>
          <w:b w:val="0"/>
          <w:bCs w:val="0"/>
          <w:noProof/>
          <w:sz w:val="22"/>
          <w:szCs w:val="22"/>
          <w:lang w:eastAsia="en-GB"/>
        </w:rPr>
      </w:pPr>
      <w:hyperlink w:anchor="_Toc525407011" w:history="1">
        <w:r w:rsidR="002B0456" w:rsidRPr="00F64289">
          <w:rPr>
            <w:rStyle w:val="Hyperlink"/>
            <w:noProof/>
          </w:rPr>
          <w:t>Map  3 – Taxi driver medical exemptions issued under S166</w:t>
        </w:r>
        <w:r w:rsidR="002B0456">
          <w:rPr>
            <w:noProof/>
            <w:webHidden/>
          </w:rPr>
          <w:tab/>
        </w:r>
        <w:r w:rsidR="002B0456">
          <w:rPr>
            <w:noProof/>
            <w:webHidden/>
          </w:rPr>
          <w:fldChar w:fldCharType="begin"/>
        </w:r>
        <w:r w:rsidR="002B0456">
          <w:rPr>
            <w:noProof/>
            <w:webHidden/>
          </w:rPr>
          <w:instrText xml:space="preserve"> PAGEREF _Toc525407011 \h </w:instrText>
        </w:r>
        <w:r w:rsidR="002B0456">
          <w:rPr>
            <w:noProof/>
            <w:webHidden/>
          </w:rPr>
        </w:r>
        <w:r w:rsidR="002B0456">
          <w:rPr>
            <w:noProof/>
            <w:webHidden/>
          </w:rPr>
          <w:fldChar w:fldCharType="separate"/>
        </w:r>
        <w:r w:rsidR="00247F48">
          <w:rPr>
            <w:noProof/>
            <w:webHidden/>
          </w:rPr>
          <w:t>19</w:t>
        </w:r>
        <w:r w:rsidR="002B0456">
          <w:rPr>
            <w:noProof/>
            <w:webHidden/>
          </w:rPr>
          <w:fldChar w:fldCharType="end"/>
        </w:r>
      </w:hyperlink>
    </w:p>
    <w:p w14:paraId="2101E951" w14:textId="22F603DF" w:rsidR="007865A5" w:rsidRPr="007865A5" w:rsidRDefault="007865A5" w:rsidP="007865A5">
      <w:r>
        <w:fldChar w:fldCharType="end"/>
      </w:r>
    </w:p>
    <w:p w14:paraId="189560A7" w14:textId="2C83BF66" w:rsidR="00C00560" w:rsidRPr="00C00560" w:rsidRDefault="00C00560" w:rsidP="00C00560"/>
    <w:p w14:paraId="2D62E9D5" w14:textId="77777777" w:rsidR="003954F6" w:rsidRDefault="003954F6" w:rsidP="003954F6">
      <w:r>
        <w:br w:type="page"/>
      </w:r>
    </w:p>
    <w:p w14:paraId="46B7E944" w14:textId="6BE0F460" w:rsidR="00B95A2C" w:rsidRPr="00EA751A" w:rsidRDefault="003954F6" w:rsidP="00F84034">
      <w:pPr>
        <w:pStyle w:val="Heading2"/>
        <w:numPr>
          <w:ilvl w:val="0"/>
          <w:numId w:val="0"/>
        </w:numPr>
        <w:ind w:left="720"/>
        <w:rPr>
          <w:color w:val="BFBFBF" w:themeColor="background1" w:themeShade="BF"/>
        </w:rPr>
      </w:pPr>
      <w:bookmarkStart w:id="170" w:name="_Toc488088810"/>
      <w:bookmarkStart w:id="171" w:name="_Toc488093198"/>
      <w:bookmarkStart w:id="172" w:name="_Toc525414021"/>
      <w:r>
        <w:lastRenderedPageBreak/>
        <w:t xml:space="preserve">Appendix </w:t>
      </w:r>
      <w:r w:rsidR="009B0A88">
        <w:t>5</w:t>
      </w:r>
      <w:r>
        <w:t xml:space="preserve">: </w:t>
      </w:r>
      <w:bookmarkEnd w:id="170"/>
      <w:bookmarkEnd w:id="171"/>
      <w:r w:rsidR="00F84034">
        <w:t>References</w:t>
      </w:r>
      <w:bookmarkEnd w:id="172"/>
    </w:p>
    <w:sectPr w:rsidR="00B95A2C" w:rsidRPr="00EA751A" w:rsidSect="00214533">
      <w:footnotePr>
        <w:pos w:val="beneathText"/>
      </w:footnotePr>
      <w:pgSz w:w="11907" w:h="16840" w:code="9"/>
      <w:pgMar w:top="1440" w:right="1440" w:bottom="1440" w:left="1440" w:header="567" w:footer="6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D6742" w14:textId="77777777" w:rsidR="00EC5565" w:rsidRDefault="00EC5565"/>
  </w:endnote>
  <w:endnote w:type="continuationSeparator" w:id="0">
    <w:p w14:paraId="119AFD64" w14:textId="77777777" w:rsidR="00EC5565" w:rsidRPr="00D93BC7" w:rsidRDefault="00EC5565" w:rsidP="00D93BC7">
      <w:pPr>
        <w:pStyle w:val="Footer"/>
      </w:pPr>
    </w:p>
  </w:endnote>
  <w:endnote w:id="1">
    <w:p w14:paraId="56D66B75" w14:textId="2DB67B67" w:rsidR="00C6428D" w:rsidRPr="00E61682" w:rsidRDefault="00C6428D" w:rsidP="00E61682">
      <w:pPr>
        <w:pStyle w:val="EndnoteText"/>
      </w:pPr>
      <w:r>
        <w:rPr>
          <w:rStyle w:val="EndnoteReference"/>
        </w:rPr>
        <w:endnoteRef/>
      </w:r>
      <w:r>
        <w:t xml:space="preserve"> </w:t>
      </w:r>
      <w:r w:rsidRPr="00753BE5">
        <w:rPr>
          <w:i/>
        </w:rPr>
        <w:t>Equality Act 2010 c.15</w:t>
      </w:r>
      <w:r>
        <w:t xml:space="preserve">, </w:t>
      </w:r>
      <w:r w:rsidRPr="00183D29">
        <w:t xml:space="preserve">available at </w:t>
      </w:r>
      <w:hyperlink r:id="rId1" w:tooltip="Equality Act 2010" w:history="1">
        <w:r w:rsidRPr="00997DF9">
          <w:rPr>
            <w:rStyle w:val="Hyperlink"/>
          </w:rPr>
          <w:t>http://www.legislation.gov.uk/ukpga/2010/15</w:t>
        </w:r>
      </w:hyperlink>
      <w:r>
        <w:t xml:space="preserve"> </w:t>
      </w:r>
      <w:r w:rsidRPr="00183D29">
        <w:t>[Accessed: 10 July 2017]</w:t>
      </w:r>
    </w:p>
  </w:endnote>
  <w:endnote w:id="2">
    <w:p w14:paraId="7AE55D23" w14:textId="4E293E5E" w:rsidR="00C6428D" w:rsidRPr="00183D29" w:rsidRDefault="00C6428D" w:rsidP="00FD2625">
      <w:pPr>
        <w:pStyle w:val="EndnoteText"/>
        <w:contextualSpacing/>
        <w:rPr>
          <w:i/>
        </w:rPr>
      </w:pPr>
      <w:r>
        <w:rPr>
          <w:rStyle w:val="EndnoteReference"/>
        </w:rPr>
        <w:endnoteRef/>
      </w:r>
      <w:r>
        <w:t xml:space="preserve">Hansard. (2015) </w:t>
      </w:r>
      <w:r w:rsidRPr="00424AD0">
        <w:rPr>
          <w:i/>
        </w:rPr>
        <w:t>Equality Act 2010 and Disability Select Committee proceedings for</w:t>
      </w:r>
      <w:r>
        <w:rPr>
          <w:i/>
        </w:rPr>
        <w:t xml:space="preserve"> Tuesday 15 December 2015</w:t>
      </w:r>
      <w:r w:rsidRPr="00183D29">
        <w:t xml:space="preserve">, video available at </w:t>
      </w:r>
    </w:p>
    <w:p w14:paraId="4C330EA9" w14:textId="1D675CD1" w:rsidR="00C6428D" w:rsidRDefault="00EC5565" w:rsidP="00FD2625">
      <w:pPr>
        <w:pStyle w:val="EndnoteText"/>
        <w:contextualSpacing/>
        <w:rPr>
          <w:i/>
        </w:rPr>
      </w:pPr>
      <w:hyperlink r:id="rId2" w:tooltip="Video: Proceedings of the Equality Act 2010 and Disability Select Committee on Tuesday 15th December 2015" w:history="1">
        <w:r w:rsidR="00C6428D" w:rsidRPr="00997DF9">
          <w:rPr>
            <w:rStyle w:val="Hyperlink"/>
          </w:rPr>
          <w:t>http://parliamentlive.tv/event/index/ae6b6f0c-71fb-4385-889b-5275f94fba81?in=15:59:52</w:t>
        </w:r>
      </w:hyperlink>
      <w:r w:rsidR="00C6428D">
        <w:t xml:space="preserve"> </w:t>
      </w:r>
      <w:r w:rsidR="00C6428D" w:rsidRPr="00183D29">
        <w:t xml:space="preserve"> </w:t>
      </w:r>
    </w:p>
    <w:p w14:paraId="5DC6487A" w14:textId="762A3E76" w:rsidR="00C6428D" w:rsidRDefault="00C6428D" w:rsidP="00FD2625">
      <w:pPr>
        <w:pStyle w:val="EndnoteText"/>
        <w:contextualSpacing/>
      </w:pPr>
      <w:r w:rsidRPr="00183D29">
        <w:t>[Accessed</w:t>
      </w:r>
      <w:r>
        <w:t>:</w:t>
      </w:r>
      <w:r w:rsidRPr="00183D29">
        <w:t xml:space="preserve"> 10 July 2017]</w:t>
      </w:r>
    </w:p>
    <w:p w14:paraId="1AD75D6B" w14:textId="77777777" w:rsidR="00C6428D" w:rsidRPr="00183D29" w:rsidRDefault="00C6428D" w:rsidP="00FD2625">
      <w:pPr>
        <w:pStyle w:val="EndnoteText"/>
        <w:contextualSpacing/>
        <w:rPr>
          <w:i/>
        </w:rPr>
      </w:pPr>
    </w:p>
  </w:endnote>
  <w:endnote w:id="3">
    <w:p w14:paraId="53279754" w14:textId="77777777" w:rsidR="00C6428D" w:rsidRDefault="00C6428D" w:rsidP="00183D29">
      <w:pPr>
        <w:pStyle w:val="EndnoteText"/>
        <w:contextualSpacing/>
        <w:rPr>
          <w:i/>
        </w:rPr>
      </w:pPr>
      <w:r>
        <w:rPr>
          <w:rStyle w:val="EndnoteReference"/>
        </w:rPr>
        <w:endnoteRef/>
      </w:r>
      <w:r>
        <w:t xml:space="preserve"> Department for Transport. (2017) </w:t>
      </w:r>
      <w:r w:rsidRPr="00424AD0">
        <w:rPr>
          <w:i/>
        </w:rPr>
        <w:t>Access for wheelchair users to Taxis and Private Hire Vehicles: Statutory Guidance</w:t>
      </w:r>
      <w:r>
        <w:t xml:space="preserve"> [pdf] Available at: </w:t>
      </w:r>
    </w:p>
    <w:p w14:paraId="30E559F8" w14:textId="0750A35B" w:rsidR="00C6428D" w:rsidRDefault="00EC5565" w:rsidP="00183D29">
      <w:pPr>
        <w:pStyle w:val="EndnoteText"/>
        <w:contextualSpacing/>
      </w:pPr>
      <w:hyperlink r:id="rId3" w:tooltip="Department for Transport statutory guidance under S167 Equality Act (pdf)" w:history="1">
        <w:r w:rsidR="00C6428D" w:rsidRPr="00997DF9">
          <w:rPr>
            <w:rStyle w:val="Hyperlink"/>
          </w:rPr>
          <w:t>https://www.gov.uk/government/uploads/system/uploads/attachment_data/file/593350/access-for-wheelchair-users-taxis-and-private-hire-vehicles.pdf</w:t>
        </w:r>
      </w:hyperlink>
      <w:r w:rsidR="00C6428D">
        <w:t xml:space="preserve"> [Accessed: 10 July 2017]</w:t>
      </w:r>
    </w:p>
    <w:p w14:paraId="69B93A82" w14:textId="77777777" w:rsidR="00C6428D" w:rsidRPr="00183D29" w:rsidRDefault="00C6428D" w:rsidP="00183D29">
      <w:pPr>
        <w:pStyle w:val="EndnoteText"/>
        <w:contextualSpacing/>
      </w:pPr>
    </w:p>
  </w:endnote>
  <w:endnote w:id="4">
    <w:p w14:paraId="7DB89A02" w14:textId="3EE597C9" w:rsidR="00C6428D" w:rsidRPr="00753BE5" w:rsidRDefault="00C6428D">
      <w:pPr>
        <w:pStyle w:val="EndnoteText"/>
      </w:pPr>
      <w:r>
        <w:rPr>
          <w:rStyle w:val="EndnoteReference"/>
        </w:rPr>
        <w:endnoteRef/>
      </w:r>
      <w:r>
        <w:t xml:space="preserve"> Department for Transport (2017): </w:t>
      </w:r>
      <w:r w:rsidRPr="00424AD0">
        <w:rPr>
          <w:i/>
        </w:rPr>
        <w:t>Taxi and private hire vehicles statistics, England: 201</w:t>
      </w:r>
      <w:r>
        <w:rPr>
          <w:i/>
        </w:rPr>
        <w:t>7</w:t>
      </w:r>
      <w:r>
        <w:t xml:space="preserve">. Available at: </w:t>
      </w:r>
      <w:hyperlink r:id="rId4" w:tooltip="Department for Transport (2017): Taxi and private hire vehicles statistics, England: 2017" w:history="1">
        <w:r w:rsidRPr="00997DF9">
          <w:rPr>
            <w:rStyle w:val="Hyperlink"/>
          </w:rPr>
          <w:t>https://www.gov.uk/government/statistics/taxi-and-private-hire-vehicles-statistics-england-2017</w:t>
        </w:r>
      </w:hyperlink>
      <w:r>
        <w:t xml:space="preserve"> [Accessed: 13 July 2017] (Confusingly: includes statistics for licensing in Wales.)</w:t>
      </w:r>
    </w:p>
  </w:endnote>
  <w:endnote w:id="5">
    <w:p w14:paraId="2DF92A8D" w14:textId="617EDF40" w:rsidR="00C6428D" w:rsidRPr="00424AD0" w:rsidRDefault="00C6428D">
      <w:pPr>
        <w:pStyle w:val="EndnoteText"/>
      </w:pPr>
      <w:r>
        <w:rPr>
          <w:rStyle w:val="EndnoteReference"/>
        </w:rPr>
        <w:endnoteRef/>
      </w:r>
      <w:r>
        <w:t xml:space="preserve"> Transport Scotland (2017): </w:t>
      </w:r>
      <w:r w:rsidRPr="00424AD0">
        <w:rPr>
          <w:i/>
        </w:rPr>
        <w:t xml:space="preserve">Scottish Transport Statistics No 35 </w:t>
      </w:r>
      <w:r>
        <w:rPr>
          <w:i/>
        </w:rPr>
        <w:t>–</w:t>
      </w:r>
      <w:r w:rsidRPr="00424AD0">
        <w:rPr>
          <w:i/>
        </w:rPr>
        <w:t xml:space="preserve"> Datasets</w:t>
      </w:r>
      <w:r>
        <w:t xml:space="preserve">. Available at: </w:t>
      </w:r>
      <w:hyperlink r:id="rId5" w:tooltip="Scottish Transport Statistics No 35 – Datasets" w:history="1">
        <w:r w:rsidRPr="00997DF9">
          <w:rPr>
            <w:rStyle w:val="Hyperlink"/>
          </w:rPr>
          <w:t>https://www.transport.gov.scot/publication/scottish-transport-statistics-no-35-datasets/</w:t>
        </w:r>
      </w:hyperlink>
      <w:r>
        <w:t xml:space="preserve"> [Accessed: 13 July 2017]</w:t>
      </w:r>
    </w:p>
  </w:endnote>
  <w:endnote w:id="6">
    <w:p w14:paraId="4AE22562" w14:textId="432AE740" w:rsidR="00C6428D" w:rsidRPr="006820F3" w:rsidRDefault="00C6428D" w:rsidP="006820F3">
      <w:pPr>
        <w:pStyle w:val="EndnoteText"/>
        <w:jc w:val="left"/>
      </w:pPr>
      <w:r>
        <w:rPr>
          <w:rStyle w:val="EndnoteReference"/>
        </w:rPr>
        <w:endnoteRef/>
      </w:r>
      <w:r>
        <w:t xml:space="preserve"> </w:t>
      </w:r>
      <w:r w:rsidRPr="006820F3">
        <w:rPr>
          <w:i/>
        </w:rPr>
        <w:t>Freedom of Information Act 2000 c.36 sections 1, 10 and 17</w:t>
      </w:r>
      <w:r>
        <w:t xml:space="preserve">, available at </w:t>
      </w:r>
      <w:hyperlink r:id="rId6" w:tooltip="Freedom of Information Act 2000 c.36 " w:history="1">
        <w:r w:rsidRPr="00997DF9">
          <w:rPr>
            <w:rStyle w:val="Hyperlink"/>
          </w:rPr>
          <w:t>http://www.legislation.gov.uk/ukpga/2000/36/contents</w:t>
        </w:r>
      </w:hyperlink>
      <w:r>
        <w:t xml:space="preserve"> [Accessed: 13th July 2017]</w:t>
      </w:r>
    </w:p>
  </w:endnote>
  <w:endnote w:id="7">
    <w:p w14:paraId="60C1095A" w14:textId="09CDB617" w:rsidR="00C6428D" w:rsidRPr="00A944CE" w:rsidRDefault="00C6428D" w:rsidP="00A944CE">
      <w:pPr>
        <w:pStyle w:val="EndnoteText"/>
      </w:pPr>
      <w:r>
        <w:rPr>
          <w:rStyle w:val="EndnoteReference"/>
        </w:rPr>
        <w:endnoteRef/>
      </w:r>
      <w:r>
        <w:t xml:space="preserve"> Department for Environment, Food &amp; Rural Affairs (2011): </w:t>
      </w:r>
      <w:r w:rsidRPr="00A944CE">
        <w:rPr>
          <w:i/>
        </w:rPr>
        <w:t>Rural-Urban Classification of Local Authority Districts and other higher-level geographies for statistical purposes</w:t>
      </w:r>
      <w:r>
        <w:t xml:space="preserve">. Available at: </w:t>
      </w:r>
      <w:hyperlink r:id="rId7" w:tooltip="Rural-Urban Classification of Local Authority Districts and other higher-level geographies for statistical purposes" w:history="1">
        <w:r w:rsidRPr="00997DF9">
          <w:rPr>
            <w:rStyle w:val="Hyperlink"/>
          </w:rPr>
          <w:t>https://www.gov.uk/government/statistics/2011-rural-urban-classification-of-local-authority-and-other-higher-level-geographies-for-statistical-purposes</w:t>
        </w:r>
      </w:hyperlink>
      <w:r>
        <w:t xml:space="preserve"> [Accessed: 13</w:t>
      </w:r>
      <w:r>
        <w:rPr>
          <w:vertAlign w:val="superscript"/>
        </w:rPr>
        <w:t xml:space="preserve"> </w:t>
      </w:r>
      <w:r>
        <w:t>July 2017]</w:t>
      </w:r>
    </w:p>
  </w:endnote>
  <w:endnote w:id="8">
    <w:p w14:paraId="0E49ECD8" w14:textId="14DA48DD" w:rsidR="00C6428D" w:rsidRPr="00386E1A" w:rsidRDefault="00C6428D" w:rsidP="00386E1A">
      <w:pPr>
        <w:pStyle w:val="EndnoteText"/>
        <w:jc w:val="left"/>
      </w:pPr>
      <w:r>
        <w:rPr>
          <w:rStyle w:val="EndnoteReference"/>
        </w:rPr>
        <w:endnoteRef/>
      </w:r>
      <w:r>
        <w:t xml:space="preserve"> Doug Paulley (2017) </w:t>
      </w:r>
      <w:r w:rsidRPr="00794951">
        <w:rPr>
          <w:i/>
        </w:rPr>
        <w:t>Licensing authorities’ approach to the Equality Act 2010 provisions on taxi wheelchair discrimination</w:t>
      </w:r>
      <w:r>
        <w:t xml:space="preserve">. [.xlsx] Available at: </w:t>
      </w:r>
      <w:hyperlink r:id="rId8" w:tooltip="Section 167 Research page on Doug Paulley's website" w:history="1">
        <w:r w:rsidRPr="00997DF9">
          <w:rPr>
            <w:rStyle w:val="Hyperlink"/>
          </w:rPr>
          <w:t>https://www.kingqueen.org.uk/s167</w:t>
        </w:r>
      </w:hyperlink>
      <w:r>
        <w:t xml:space="preserve"> [Accessed: 13 July 2017]</w:t>
      </w:r>
    </w:p>
  </w:endnote>
  <w:endnote w:id="9">
    <w:p w14:paraId="72034F96" w14:textId="5E0FFB68" w:rsidR="00C6428D" w:rsidRDefault="00C6428D">
      <w:pPr>
        <w:pStyle w:val="EndnoteText"/>
      </w:pPr>
      <w:r>
        <w:rPr>
          <w:rStyle w:val="EndnoteReference"/>
        </w:rPr>
        <w:endnoteRef/>
      </w:r>
      <w:r>
        <w:t xml:space="preserve"> Department for Transport (2017): </w:t>
      </w:r>
      <w:r w:rsidRPr="00110325">
        <w:rPr>
          <w:i/>
        </w:rPr>
        <w:t>Access for wheelchair users to Taxis and Private Hire Vehicles: Statutory Guidance.</w:t>
      </w:r>
      <w:r>
        <w:t xml:space="preserve"> Available at: </w:t>
      </w:r>
      <w:hyperlink r:id="rId9" w:tooltip="Access for wheelchair users to Taxis and Private Hire Vehicles: Statutory Guidance" w:history="1">
        <w:r w:rsidRPr="00997DF9">
          <w:rPr>
            <w:rStyle w:val="Hyperlink"/>
          </w:rPr>
          <w:t>https://www.gov.uk/government/publications/access-for-wheelchair-users-to-taxis-and-private-hire-vehicles</w:t>
        </w:r>
      </w:hyperlink>
      <w:r>
        <w:t xml:space="preserve"> [Accessed: 20</w:t>
      </w:r>
      <w:r>
        <w:rPr>
          <w:vertAlign w:val="superscript"/>
        </w:rPr>
        <w:t xml:space="preserve"> </w:t>
      </w:r>
      <w:r>
        <w:t>September 2018]</w:t>
      </w:r>
    </w:p>
  </w:endnote>
  <w:endnote w:id="10">
    <w:p w14:paraId="2B73D8F5" w14:textId="20555CF7" w:rsidR="00C6428D" w:rsidRDefault="00C6428D" w:rsidP="00081989">
      <w:pPr>
        <w:pStyle w:val="EndnoteText"/>
        <w:spacing w:after="0"/>
      </w:pPr>
      <w:r>
        <w:rPr>
          <w:rStyle w:val="EndnoteReference"/>
        </w:rPr>
        <w:endnoteRef/>
      </w:r>
      <w:r>
        <w:t xml:space="preserve"> City of Edinburgh Council (2018): </w:t>
      </w:r>
      <w:r w:rsidRPr="00081989">
        <w:rPr>
          <w:i/>
        </w:rPr>
        <w:t>Response to Freedom of Information Request: “Large number of exemptions under S166”</w:t>
      </w:r>
      <w:r>
        <w:t xml:space="preserve">. Available at: </w:t>
      </w:r>
    </w:p>
    <w:p w14:paraId="79B0B264" w14:textId="4AC4A0D0" w:rsidR="00C6428D" w:rsidRDefault="00EC5565">
      <w:pPr>
        <w:pStyle w:val="EndnoteText"/>
      </w:pPr>
      <w:hyperlink r:id="rId10" w:tooltip="Response to Freedom of Information Request: " w:history="1">
        <w:r w:rsidR="00C6428D" w:rsidRPr="00997DF9">
          <w:rPr>
            <w:rStyle w:val="Hyperlink"/>
          </w:rPr>
          <w:t>https://www.whatdotheyknow.com/request/large_number_of_exemptions_under</w:t>
        </w:r>
      </w:hyperlink>
      <w:r w:rsidR="00C6428D">
        <w:t xml:space="preserve"> [Accessed: 20</w:t>
      </w:r>
      <w:r w:rsidR="00C6428D">
        <w:rPr>
          <w:vertAlign w:val="superscript"/>
        </w:rPr>
        <w:t xml:space="preserve"> </w:t>
      </w:r>
      <w:r w:rsidR="00C6428D">
        <w:t>September 2018]</w:t>
      </w:r>
    </w:p>
  </w:endnote>
  <w:endnote w:id="11">
    <w:p w14:paraId="66755813" w14:textId="77777777" w:rsidR="00C6428D" w:rsidRDefault="00C6428D" w:rsidP="00081989">
      <w:pPr>
        <w:pStyle w:val="EndnoteText"/>
        <w:spacing w:after="0"/>
      </w:pPr>
      <w:r>
        <w:rPr>
          <w:rStyle w:val="EndnoteReference"/>
        </w:rPr>
        <w:endnoteRef/>
      </w:r>
      <w:r>
        <w:t xml:space="preserve"> Taunton Deane Borough Council (2018): </w:t>
      </w:r>
      <w:r w:rsidRPr="00081989">
        <w:rPr>
          <w:i/>
        </w:rPr>
        <w:t>Response to Freedom of Information Request: “Large number of exemptions under S166”</w:t>
      </w:r>
      <w:r>
        <w:rPr>
          <w:i/>
        </w:rPr>
        <w:t xml:space="preserve">. </w:t>
      </w:r>
      <w:r>
        <w:t xml:space="preserve">Available at: </w:t>
      </w:r>
    </w:p>
    <w:p w14:paraId="6475BA7B" w14:textId="2EA779E4" w:rsidR="00C6428D" w:rsidRDefault="00EC5565">
      <w:pPr>
        <w:pStyle w:val="EndnoteText"/>
      </w:pPr>
      <w:hyperlink r:id="rId11" w:tooltip="Response to Freedom of Information Request: " w:history="1">
        <w:r w:rsidR="00C6428D" w:rsidRPr="00997DF9">
          <w:rPr>
            <w:rStyle w:val="Hyperlink"/>
          </w:rPr>
          <w:t>https://www.whatdotheyknow.com/request/large_numbers_of_taxi_drivers_me_2</w:t>
        </w:r>
      </w:hyperlink>
      <w:r w:rsidR="00C6428D">
        <w:t xml:space="preserve"> [Accessed: 20</w:t>
      </w:r>
      <w:r w:rsidR="00C6428D">
        <w:rPr>
          <w:vertAlign w:val="superscript"/>
        </w:rPr>
        <w:t xml:space="preserve"> </w:t>
      </w:r>
      <w:r w:rsidR="00C6428D">
        <w:t>September 2018]</w:t>
      </w:r>
    </w:p>
  </w:endnote>
  <w:endnote w:id="12">
    <w:p w14:paraId="5C50F618" w14:textId="0155E3EC" w:rsidR="00C6428D" w:rsidRDefault="00C6428D" w:rsidP="00C22900">
      <w:pPr>
        <w:pStyle w:val="EndnoteText"/>
        <w:spacing w:after="0"/>
      </w:pPr>
      <w:r>
        <w:rPr>
          <w:rStyle w:val="EndnoteReference"/>
        </w:rPr>
        <w:endnoteRef/>
      </w:r>
      <w:r>
        <w:t xml:space="preserve"> Plymouth Council (2018): </w:t>
      </w:r>
      <w:r w:rsidRPr="00C22900">
        <w:rPr>
          <w:i/>
        </w:rPr>
        <w:t>Response to Freedom of Information Request: “Large number of exemptions under S166”</w:t>
      </w:r>
      <w:r>
        <w:t xml:space="preserve">. Available at: </w:t>
      </w:r>
    </w:p>
    <w:p w14:paraId="19689944" w14:textId="242D8F53" w:rsidR="00C6428D" w:rsidRDefault="00EC5565" w:rsidP="00C22900">
      <w:pPr>
        <w:pStyle w:val="EndnoteText"/>
      </w:pPr>
      <w:hyperlink r:id="rId12" w:tooltip="Response to Freedom of Information Request: &quot;" w:history="1">
        <w:r w:rsidR="00C6428D" w:rsidRPr="00997DF9">
          <w:rPr>
            <w:rStyle w:val="Hyperlink"/>
          </w:rPr>
          <w:t>https://www.whatdotheyknow.com/request/large_numbers_of_taxi_drivers_me_3</w:t>
        </w:r>
      </w:hyperlink>
      <w:r w:rsidR="00C6428D">
        <w:t xml:space="preserve"> [Accessed: 20 September 2018]</w:t>
      </w:r>
    </w:p>
  </w:endnote>
  <w:endnote w:id="13">
    <w:p w14:paraId="732AACD7" w14:textId="0B0E43DE" w:rsidR="00C6428D" w:rsidRDefault="00C6428D" w:rsidP="00C22900">
      <w:pPr>
        <w:pStyle w:val="EndnoteText"/>
        <w:spacing w:after="0"/>
      </w:pPr>
      <w:r>
        <w:rPr>
          <w:rStyle w:val="EndnoteReference"/>
        </w:rPr>
        <w:endnoteRef/>
      </w:r>
      <w:r>
        <w:t xml:space="preserve"> North East Lincolnshire Council (2018): </w:t>
      </w:r>
      <w:r w:rsidRPr="00C22900">
        <w:rPr>
          <w:i/>
        </w:rPr>
        <w:t>Response to Freedom of Information Request: “Large number of exemptions under S166”</w:t>
      </w:r>
      <w:r>
        <w:t xml:space="preserve">. Available at: </w:t>
      </w:r>
    </w:p>
    <w:p w14:paraId="0693213F" w14:textId="54E189B7" w:rsidR="00C6428D" w:rsidRDefault="00EC5565">
      <w:pPr>
        <w:pStyle w:val="EndnoteText"/>
      </w:pPr>
      <w:hyperlink r:id="rId13" w:tooltip="Response to Freedom of Information Request: " w:history="1">
        <w:r w:rsidR="00C6428D" w:rsidRPr="00997DF9">
          <w:rPr>
            <w:rStyle w:val="Hyperlink"/>
          </w:rPr>
          <w:t>https://www.whatdotheyknow.com/request/large_numbers_of_taxi_drivers_me</w:t>
        </w:r>
      </w:hyperlink>
      <w:r w:rsidR="00C6428D">
        <w:t xml:space="preserve"> [Accessed: 20 September 2018]</w:t>
      </w:r>
    </w:p>
  </w:endnote>
  <w:endnote w:id="14">
    <w:p w14:paraId="58B3A59E" w14:textId="5527237F" w:rsidR="00C6428D" w:rsidRDefault="00C6428D" w:rsidP="00190820">
      <w:pPr>
        <w:pStyle w:val="EndnoteText"/>
      </w:pPr>
      <w:r>
        <w:rPr>
          <w:rStyle w:val="EndnoteReference"/>
        </w:rPr>
        <w:endnoteRef/>
      </w:r>
      <w:r>
        <w:t xml:space="preserve"> Peterborough Telegraph (2013) </w:t>
      </w:r>
      <w:r w:rsidRPr="00BA6F55">
        <w:rPr>
          <w:i/>
        </w:rPr>
        <w:t>Taxi driver fined for not properly securing disabled passenger</w:t>
      </w:r>
      <w:r>
        <w:rPr>
          <w:i/>
        </w:rPr>
        <w:t xml:space="preserve"> </w:t>
      </w:r>
      <w:r>
        <w:t xml:space="preserve">Available at: </w:t>
      </w:r>
      <w:hyperlink r:id="rId14" w:tooltip="Taxi driver fined for not properly securing disabled passenger " w:history="1">
        <w:r w:rsidRPr="00997DF9">
          <w:rPr>
            <w:rStyle w:val="Hyperlink"/>
          </w:rPr>
          <w:t>https://www.peterboroughtoday.co.uk/news/crime/taxi-driver-fined-for-not-properly-securing-disabled-passenger-1-5187900</w:t>
        </w:r>
      </w:hyperlink>
      <w:r>
        <w:t xml:space="preserve"> [Accessed: 20 September 2018]</w:t>
      </w:r>
    </w:p>
  </w:endnote>
  <w:endnote w:id="15">
    <w:p w14:paraId="6B4518AA" w14:textId="22E1F621" w:rsidR="00C6428D" w:rsidRDefault="00C6428D" w:rsidP="00EA09A8">
      <w:pPr>
        <w:pStyle w:val="EndnoteText"/>
        <w:spacing w:after="0"/>
      </w:pPr>
      <w:r>
        <w:rPr>
          <w:rStyle w:val="EndnoteReference"/>
        </w:rPr>
        <w:endnoteRef/>
      </w:r>
      <w:r>
        <w:t xml:space="preserve"> Hastings</w:t>
      </w:r>
      <w:r w:rsidRPr="00451681">
        <w:t xml:space="preserve"> Borough Council (201</w:t>
      </w:r>
      <w:r>
        <w:t>8</w:t>
      </w:r>
      <w:r w:rsidRPr="00451681">
        <w:t xml:space="preserve">) </w:t>
      </w:r>
      <w:r w:rsidRPr="00637429">
        <w:rPr>
          <w:i/>
        </w:rPr>
        <w:t>Response to Freedom of Information Request</w:t>
      </w:r>
      <w:r w:rsidRPr="00451681">
        <w:t xml:space="preserve">: </w:t>
      </w:r>
      <w:r>
        <w:t>“</w:t>
      </w:r>
      <w:r w:rsidRPr="00EA09A8">
        <w:rPr>
          <w:i/>
        </w:rPr>
        <w:t>Prosecution under S165 of the Equality Act</w:t>
      </w:r>
      <w:r>
        <w:rPr>
          <w:i/>
        </w:rPr>
        <w:t>”</w:t>
      </w:r>
      <w:r w:rsidRPr="00EA09A8">
        <w:rPr>
          <w:i/>
        </w:rPr>
        <w:t xml:space="preserve"> </w:t>
      </w:r>
      <w:r w:rsidRPr="00451681">
        <w:t xml:space="preserve">Available at: </w:t>
      </w:r>
    </w:p>
    <w:p w14:paraId="4E0DD106" w14:textId="7D62EE5A" w:rsidR="00C6428D" w:rsidRDefault="00EC5565">
      <w:pPr>
        <w:pStyle w:val="EndnoteText"/>
      </w:pPr>
      <w:hyperlink r:id="rId15" w:tooltip="Response to Freedom of Information Request: " w:history="1">
        <w:r w:rsidR="00C6428D" w:rsidRPr="00997DF9">
          <w:rPr>
            <w:rStyle w:val="Hyperlink"/>
          </w:rPr>
          <w:t>https://www.whatdotheyknow.com/request/prosecution_under_s165_of_the_eq</w:t>
        </w:r>
      </w:hyperlink>
      <w:r w:rsidR="00C6428D">
        <w:t xml:space="preserve"> </w:t>
      </w:r>
      <w:r w:rsidR="00C6428D" w:rsidRPr="00451681">
        <w:t xml:space="preserve">[Accessed: </w:t>
      </w:r>
      <w:r w:rsidR="00C6428D">
        <w:t>20 September</w:t>
      </w:r>
      <w:r w:rsidR="00C6428D" w:rsidRPr="00451681">
        <w:t xml:space="preserve"> 201</w:t>
      </w:r>
      <w:r w:rsidR="00C6428D">
        <w:t>8</w:t>
      </w:r>
      <w:r w:rsidR="00C6428D" w:rsidRPr="00451681">
        <w:t>]</w:t>
      </w:r>
    </w:p>
  </w:endnote>
  <w:endnote w:id="16">
    <w:p w14:paraId="450FC028" w14:textId="3D102756" w:rsidR="00C6428D" w:rsidRPr="00EF3D81" w:rsidRDefault="00C6428D">
      <w:pPr>
        <w:pStyle w:val="EndnoteText"/>
      </w:pPr>
      <w:r>
        <w:rPr>
          <w:rStyle w:val="EndnoteReference"/>
        </w:rPr>
        <w:endnoteRef/>
      </w:r>
      <w:r>
        <w:t xml:space="preserve"> Andrew Jones MP (2015) </w:t>
      </w:r>
      <w:r w:rsidRPr="00EC13C2">
        <w:rPr>
          <w:i/>
        </w:rPr>
        <w:t>Oral evidence - Equality Act 2010 and Disability - 15 Dec 2015</w:t>
      </w:r>
      <w:r>
        <w:t xml:space="preserve">. Available at: </w:t>
      </w:r>
      <w:hyperlink r:id="rId16" w:tooltip="Oral evidence - Equality Act 2010 and Disability - 15 Dec 2015" w:history="1">
        <w:r w:rsidRPr="00997DF9">
          <w:rPr>
            <w:rStyle w:val="Hyperlink"/>
          </w:rPr>
          <w:t>http://data.parliament.uk/writtenevidence/committeeevidence.svc/evidencedocument/equality-act-2010-and-disability-committee/equality-act-2010-and-disability/oral/26351.html</w:t>
        </w:r>
      </w:hyperlink>
      <w:r>
        <w:t xml:space="preserve"> [Accessed: 15 July 2017]</w:t>
      </w:r>
    </w:p>
  </w:endnote>
  <w:endnote w:id="17">
    <w:p w14:paraId="1DB42314" w14:textId="77777777" w:rsidR="00C6428D" w:rsidRDefault="00C6428D" w:rsidP="006A2965">
      <w:pPr>
        <w:pStyle w:val="EndnoteText"/>
        <w:spacing w:after="0"/>
      </w:pPr>
      <w:r>
        <w:rPr>
          <w:rStyle w:val="EndnoteReference"/>
        </w:rPr>
        <w:endnoteRef/>
      </w:r>
      <w:r>
        <w:t xml:space="preserve"> NHS England (2018) </w:t>
      </w:r>
      <w:r>
        <w:rPr>
          <w:i/>
        </w:rPr>
        <w:t>Improving Wheelchair Services</w:t>
      </w:r>
      <w:r>
        <w:t xml:space="preserve"> Available at: </w:t>
      </w:r>
    </w:p>
    <w:p w14:paraId="22B26A31" w14:textId="5E36ADE8" w:rsidR="00C6428D" w:rsidRPr="006C36F1" w:rsidRDefault="00EC5565" w:rsidP="006A2965">
      <w:pPr>
        <w:pStyle w:val="EndnoteText"/>
      </w:pPr>
      <w:hyperlink r:id="rId17" w:tooltip=") Improving Wheelchair Services " w:history="1">
        <w:r w:rsidR="00C6428D" w:rsidRPr="00997DF9">
          <w:rPr>
            <w:rStyle w:val="Hyperlink"/>
          </w:rPr>
          <w:t>https://www.england.nhs.uk/wheelchair-services/</w:t>
        </w:r>
      </w:hyperlink>
      <w:r w:rsidR="00C6428D">
        <w:t xml:space="preserve"> [Accessed: 20 September 2018]</w:t>
      </w:r>
    </w:p>
  </w:endnote>
  <w:endnote w:id="18">
    <w:p w14:paraId="4B373F42" w14:textId="48468FBA" w:rsidR="00C6428D" w:rsidRPr="009E1B75" w:rsidRDefault="00C6428D" w:rsidP="009F2AFF">
      <w:pPr>
        <w:pStyle w:val="EndnoteText"/>
        <w:jc w:val="left"/>
      </w:pPr>
      <w:r>
        <w:rPr>
          <w:rStyle w:val="EndnoteReference"/>
        </w:rPr>
        <w:endnoteRef/>
      </w:r>
      <w:r>
        <w:t xml:space="preserve"> Baroness Jane Campbell (2016), quoted in Disability News Service (2016)’s articles </w:t>
      </w:r>
      <w:r w:rsidRPr="009E1B75">
        <w:rPr>
          <w:i/>
        </w:rPr>
        <w:t>Ministers face twin attack over bus accessibility failures</w:t>
      </w:r>
      <w:r>
        <w:t xml:space="preserve"> and </w:t>
      </w:r>
      <w:r w:rsidRPr="009E1B75">
        <w:rPr>
          <w:i/>
        </w:rPr>
        <w:t>Baroness Campbell vows to fight on over access to buses</w:t>
      </w:r>
      <w:r>
        <w:rPr>
          <w:i/>
        </w:rPr>
        <w:t xml:space="preserve">. </w:t>
      </w:r>
      <w:r>
        <w:t xml:space="preserve">Available at </w:t>
      </w:r>
      <w:hyperlink r:id="rId18" w:tooltip="Ministers face twin attack over bus accessibility failures " w:history="1">
        <w:r w:rsidRPr="00997DF9">
          <w:rPr>
            <w:rStyle w:val="Hyperlink"/>
          </w:rPr>
          <w:t>https://www.disabilitynewsservice.com/ministers-face-twin-attack-over-bus-accessibility-failures/</w:t>
        </w:r>
      </w:hyperlink>
      <w:r>
        <w:t xml:space="preserve"> and </w:t>
      </w:r>
      <w:hyperlink r:id="rId19" w:tooltip="Baroness Campbell vows to fight on over access to buses" w:history="1">
        <w:r w:rsidRPr="00997DF9">
          <w:rPr>
            <w:rStyle w:val="Hyperlink"/>
          </w:rPr>
          <w:t>https://www.disabilitynewsservice.com/baroness-campbell-vows-to-fight-on-over-access-to-buses/</w:t>
        </w:r>
      </w:hyperlink>
      <w:r>
        <w:t xml:space="preserve"> [Accessed: 15</w:t>
      </w:r>
      <w:r w:rsidRPr="009E1B75">
        <w:rPr>
          <w:vertAlign w:val="superscript"/>
        </w:rPr>
        <w:t>th</w:t>
      </w:r>
      <w:r>
        <w:t xml:space="preserve"> July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0493"/>
      <w:docPartObj>
        <w:docPartGallery w:val="Page Numbers (Bottom of Page)"/>
        <w:docPartUnique/>
      </w:docPartObj>
    </w:sdtPr>
    <w:sdtEndPr/>
    <w:sdtContent>
      <w:sdt>
        <w:sdtPr>
          <w:id w:val="-2120671498"/>
          <w:docPartObj>
            <w:docPartGallery w:val="Page Numbers (Top of Page)"/>
            <w:docPartUnique/>
          </w:docPartObj>
        </w:sdtPr>
        <w:sdtEndPr/>
        <w:sdtContent>
          <w:p w14:paraId="29DE492C" w14:textId="226C4B8F" w:rsidR="00C6428D" w:rsidRDefault="00C6428D" w:rsidP="0077236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szCs w:val="24"/>
              </w:rPr>
              <w:instrText xml:space="preserve"> = </w:instrText>
            </w:r>
            <w:r>
              <w:rPr>
                <w:b/>
                <w:bCs/>
                <w:szCs w:val="24"/>
              </w:rPr>
              <w:fldChar w:fldCharType="begin"/>
            </w:r>
            <w:r>
              <w:rPr>
                <w:b/>
                <w:bCs/>
              </w:rPr>
              <w:instrText xml:space="preserve"> NUMPAGES  </w:instrText>
            </w:r>
            <w:r>
              <w:rPr>
                <w:b/>
                <w:bCs/>
                <w:szCs w:val="24"/>
              </w:rPr>
              <w:fldChar w:fldCharType="separate"/>
            </w:r>
            <w:r w:rsidR="00247F48">
              <w:rPr>
                <w:b/>
                <w:bCs/>
                <w:noProof/>
              </w:rPr>
              <w:instrText>35</w:instrText>
            </w:r>
            <w:r>
              <w:rPr>
                <w:b/>
                <w:bCs/>
                <w:szCs w:val="24"/>
              </w:rPr>
              <w:fldChar w:fldCharType="end"/>
            </w:r>
            <w:r>
              <w:rPr>
                <w:b/>
                <w:bCs/>
                <w:szCs w:val="24"/>
              </w:rPr>
              <w:instrText xml:space="preserve"> - 1 </w:instrText>
            </w:r>
            <w:r w:rsidR="00FB2896">
              <w:rPr>
                <w:b/>
                <w:bCs/>
                <w:szCs w:val="24"/>
              </w:rPr>
              <w:fldChar w:fldCharType="separate"/>
            </w:r>
            <w:r w:rsidR="00247F48">
              <w:rPr>
                <w:b/>
                <w:bCs/>
                <w:noProof/>
                <w:szCs w:val="24"/>
              </w:rPr>
              <w:t>34</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36455"/>
      <w:docPartObj>
        <w:docPartGallery w:val="Page Numbers (Bottom of Page)"/>
        <w:docPartUnique/>
      </w:docPartObj>
    </w:sdtPr>
    <w:sdtEndPr/>
    <w:sdtContent>
      <w:sdt>
        <w:sdtPr>
          <w:id w:val="-766926924"/>
          <w:docPartObj>
            <w:docPartGallery w:val="Page Numbers (Top of Page)"/>
            <w:docPartUnique/>
          </w:docPartObj>
        </w:sdtPr>
        <w:sdtEndPr/>
        <w:sdtContent>
          <w:p w14:paraId="34ECB1D0" w14:textId="73218414" w:rsidR="00C6428D" w:rsidRDefault="00EC5565" w:rsidP="007B7645">
            <w:pPr>
              <w:pStyle w:val="Footer"/>
              <w:jc w:val="cen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895918"/>
      <w:docPartObj>
        <w:docPartGallery w:val="Page Numbers (Bottom of Page)"/>
        <w:docPartUnique/>
      </w:docPartObj>
    </w:sdtPr>
    <w:sdtEndPr/>
    <w:sdtContent>
      <w:sdt>
        <w:sdtPr>
          <w:id w:val="535006809"/>
          <w:docPartObj>
            <w:docPartGallery w:val="Page Numbers (Top of Page)"/>
            <w:docPartUnique/>
          </w:docPartObj>
        </w:sdtPr>
        <w:sdtEndPr/>
        <w:sdtContent>
          <w:p w14:paraId="1C5F3698" w14:textId="2D9726E0" w:rsidR="00C6428D" w:rsidRDefault="00C6428D" w:rsidP="0077236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szCs w:val="24"/>
              </w:rPr>
              <w:instrText xml:space="preserve"> = </w:instrText>
            </w:r>
            <w:r>
              <w:rPr>
                <w:b/>
                <w:bCs/>
                <w:szCs w:val="24"/>
              </w:rPr>
              <w:fldChar w:fldCharType="begin"/>
            </w:r>
            <w:r>
              <w:rPr>
                <w:b/>
                <w:bCs/>
              </w:rPr>
              <w:instrText xml:space="preserve"> NUMPAGES  </w:instrText>
            </w:r>
            <w:r>
              <w:rPr>
                <w:b/>
                <w:bCs/>
                <w:szCs w:val="24"/>
              </w:rPr>
              <w:fldChar w:fldCharType="separate"/>
            </w:r>
            <w:r w:rsidR="00247F48">
              <w:rPr>
                <w:b/>
                <w:bCs/>
                <w:noProof/>
              </w:rPr>
              <w:instrText>35</w:instrText>
            </w:r>
            <w:r>
              <w:rPr>
                <w:b/>
                <w:bCs/>
                <w:szCs w:val="24"/>
              </w:rPr>
              <w:fldChar w:fldCharType="end"/>
            </w:r>
            <w:r>
              <w:rPr>
                <w:b/>
                <w:bCs/>
                <w:szCs w:val="24"/>
              </w:rPr>
              <w:instrText xml:space="preserve">  - 1</w:instrText>
            </w:r>
            <w:r w:rsidR="00FB2896">
              <w:rPr>
                <w:b/>
                <w:bCs/>
                <w:szCs w:val="24"/>
              </w:rPr>
              <w:fldChar w:fldCharType="separate"/>
            </w:r>
            <w:r w:rsidR="00247F48">
              <w:rPr>
                <w:b/>
                <w:bCs/>
                <w:noProof/>
                <w:szCs w:val="24"/>
              </w:rPr>
              <w:t>34</w:t>
            </w:r>
            <w:r>
              <w:rPr>
                <w:b/>
                <w:bCs/>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170565"/>
      <w:docPartObj>
        <w:docPartGallery w:val="Page Numbers (Bottom of Page)"/>
        <w:docPartUnique/>
      </w:docPartObj>
    </w:sdtPr>
    <w:sdtEndPr/>
    <w:sdtContent>
      <w:sdt>
        <w:sdtPr>
          <w:id w:val="1728636285"/>
          <w:docPartObj>
            <w:docPartGallery w:val="Page Numbers (Top of Page)"/>
            <w:docPartUnique/>
          </w:docPartObj>
        </w:sdtPr>
        <w:sdtEndPr/>
        <w:sdtContent>
          <w:p w14:paraId="4BD73DC2" w14:textId="3A59C182" w:rsidR="00C6428D" w:rsidRDefault="00C6428D" w:rsidP="0077236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szCs w:val="24"/>
              </w:rPr>
              <w:instrText xml:space="preserve"> = </w:instrText>
            </w:r>
            <w:r>
              <w:rPr>
                <w:b/>
                <w:bCs/>
                <w:szCs w:val="24"/>
              </w:rPr>
              <w:fldChar w:fldCharType="begin"/>
            </w:r>
            <w:r>
              <w:rPr>
                <w:b/>
                <w:bCs/>
              </w:rPr>
              <w:instrText xml:space="preserve"> NUMPAGES  </w:instrText>
            </w:r>
            <w:r>
              <w:rPr>
                <w:b/>
                <w:bCs/>
                <w:szCs w:val="24"/>
              </w:rPr>
              <w:fldChar w:fldCharType="separate"/>
            </w:r>
            <w:r w:rsidR="00247F48">
              <w:rPr>
                <w:b/>
                <w:bCs/>
                <w:noProof/>
              </w:rPr>
              <w:instrText>35</w:instrText>
            </w:r>
            <w:r>
              <w:rPr>
                <w:b/>
                <w:bCs/>
                <w:szCs w:val="24"/>
              </w:rPr>
              <w:fldChar w:fldCharType="end"/>
            </w:r>
            <w:r>
              <w:rPr>
                <w:b/>
                <w:bCs/>
                <w:szCs w:val="24"/>
              </w:rPr>
              <w:instrText xml:space="preserve">  - 1</w:instrText>
            </w:r>
            <w:r w:rsidR="00FB2896">
              <w:rPr>
                <w:b/>
                <w:bCs/>
                <w:szCs w:val="24"/>
              </w:rPr>
              <w:fldChar w:fldCharType="separate"/>
            </w:r>
            <w:r w:rsidR="00247F48">
              <w:rPr>
                <w:b/>
                <w:bCs/>
                <w:noProof/>
                <w:szCs w:val="24"/>
              </w:rPr>
              <w:t>34</w:t>
            </w:r>
            <w:r>
              <w:rPr>
                <w:b/>
                <w:bCs/>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90744"/>
      <w:docPartObj>
        <w:docPartGallery w:val="Page Numbers (Bottom of Page)"/>
        <w:docPartUnique/>
      </w:docPartObj>
    </w:sdtPr>
    <w:sdtEndPr/>
    <w:sdtContent>
      <w:sdt>
        <w:sdtPr>
          <w:id w:val="-1229690250"/>
          <w:docPartObj>
            <w:docPartGallery w:val="Page Numbers (Top of Page)"/>
            <w:docPartUnique/>
          </w:docPartObj>
        </w:sdtPr>
        <w:sdtEndPr/>
        <w:sdtContent>
          <w:p w14:paraId="3F6F51A3" w14:textId="1DDE6A8E" w:rsidR="00C6428D" w:rsidRDefault="00C6428D">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szCs w:val="24"/>
              </w:rPr>
              <w:instrText xml:space="preserve"> = </w:instrText>
            </w:r>
            <w:r>
              <w:rPr>
                <w:b/>
                <w:bCs/>
                <w:szCs w:val="24"/>
              </w:rPr>
              <w:fldChar w:fldCharType="begin"/>
            </w:r>
            <w:r>
              <w:rPr>
                <w:b/>
                <w:bCs/>
              </w:rPr>
              <w:instrText xml:space="preserve"> NUMPAGES  </w:instrText>
            </w:r>
            <w:r>
              <w:rPr>
                <w:b/>
                <w:bCs/>
                <w:szCs w:val="24"/>
              </w:rPr>
              <w:fldChar w:fldCharType="separate"/>
            </w:r>
            <w:r w:rsidR="00247F48">
              <w:rPr>
                <w:b/>
                <w:bCs/>
                <w:noProof/>
              </w:rPr>
              <w:instrText>35</w:instrText>
            </w:r>
            <w:r>
              <w:rPr>
                <w:b/>
                <w:bCs/>
                <w:szCs w:val="24"/>
              </w:rPr>
              <w:fldChar w:fldCharType="end"/>
            </w:r>
            <w:r>
              <w:rPr>
                <w:b/>
                <w:bCs/>
                <w:szCs w:val="24"/>
              </w:rPr>
              <w:instrText xml:space="preserve">  - 1</w:instrText>
            </w:r>
            <w:r w:rsidR="00FB2896">
              <w:rPr>
                <w:b/>
                <w:bCs/>
                <w:szCs w:val="24"/>
              </w:rPr>
              <w:fldChar w:fldCharType="separate"/>
            </w:r>
            <w:r w:rsidR="00247F48">
              <w:rPr>
                <w:b/>
                <w:bCs/>
                <w:noProof/>
                <w:szCs w:val="24"/>
              </w:rPr>
              <w:t>34</w:t>
            </w:r>
            <w:r>
              <w:rPr>
                <w:b/>
                <w:bCs/>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576479"/>
      <w:docPartObj>
        <w:docPartGallery w:val="Page Numbers (Bottom of Page)"/>
        <w:docPartUnique/>
      </w:docPartObj>
    </w:sdtPr>
    <w:sdtEndPr/>
    <w:sdtContent>
      <w:sdt>
        <w:sdtPr>
          <w:id w:val="-423501605"/>
          <w:docPartObj>
            <w:docPartGallery w:val="Page Numbers (Top of Page)"/>
            <w:docPartUnique/>
          </w:docPartObj>
        </w:sdtPr>
        <w:sdtEndPr/>
        <w:sdtContent>
          <w:p w14:paraId="7BEEE96D" w14:textId="50FD803A" w:rsidR="00C6428D" w:rsidRDefault="00C6428D">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37</w:t>
            </w:r>
            <w:r>
              <w:rPr>
                <w:b/>
                <w:bCs/>
                <w:szCs w:val="24"/>
              </w:rPr>
              <w:fldChar w:fldCharType="end"/>
            </w:r>
            <w:r>
              <w:t xml:space="preserve"> of </w:t>
            </w:r>
            <w:r>
              <w:rPr>
                <w:b/>
                <w:bCs/>
                <w:szCs w:val="24"/>
              </w:rPr>
              <w:fldChar w:fldCharType="begin"/>
            </w:r>
            <w:r>
              <w:rPr>
                <w:b/>
                <w:bCs/>
                <w:szCs w:val="24"/>
              </w:rPr>
              <w:instrText xml:space="preserve"> = </w:instrText>
            </w:r>
            <w:r>
              <w:rPr>
                <w:b/>
                <w:bCs/>
                <w:szCs w:val="24"/>
              </w:rPr>
              <w:fldChar w:fldCharType="begin"/>
            </w:r>
            <w:r>
              <w:rPr>
                <w:b/>
                <w:bCs/>
              </w:rPr>
              <w:instrText xml:space="preserve"> NUMPAGES  </w:instrText>
            </w:r>
            <w:r>
              <w:rPr>
                <w:b/>
                <w:bCs/>
                <w:szCs w:val="24"/>
              </w:rPr>
              <w:fldChar w:fldCharType="separate"/>
            </w:r>
            <w:r w:rsidR="00247F48">
              <w:rPr>
                <w:b/>
                <w:bCs/>
                <w:noProof/>
              </w:rPr>
              <w:instrText>35</w:instrText>
            </w:r>
            <w:r>
              <w:rPr>
                <w:b/>
                <w:bCs/>
                <w:szCs w:val="24"/>
              </w:rPr>
              <w:fldChar w:fldCharType="end"/>
            </w:r>
            <w:r>
              <w:rPr>
                <w:b/>
                <w:bCs/>
                <w:szCs w:val="24"/>
              </w:rPr>
              <w:instrText xml:space="preserve">  - 1</w:instrText>
            </w:r>
            <w:r w:rsidR="00FB2896">
              <w:rPr>
                <w:b/>
                <w:bCs/>
                <w:szCs w:val="24"/>
              </w:rPr>
              <w:fldChar w:fldCharType="separate"/>
            </w:r>
            <w:r w:rsidR="00247F48">
              <w:rPr>
                <w:b/>
                <w:bCs/>
                <w:noProof/>
                <w:szCs w:val="24"/>
              </w:rPr>
              <w:t>34</w:t>
            </w:r>
            <w:r>
              <w:rPr>
                <w:b/>
                <w:bCs/>
                <w:szCs w:val="24"/>
              </w:rPr>
              <w:fldChar w:fldCharType="end"/>
            </w:r>
          </w:p>
        </w:sdtContent>
      </w:sdt>
    </w:sdtContent>
  </w:sdt>
  <w:p w14:paraId="11F99EDC" w14:textId="77777777" w:rsidR="00C6428D" w:rsidRDefault="00C6428D" w:rsidP="00EA75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A3185" w14:textId="77777777" w:rsidR="00EC5565" w:rsidRDefault="00EC5565">
      <w:pPr>
        <w:spacing w:line="240" w:lineRule="auto"/>
      </w:pPr>
      <w:r>
        <w:separator/>
      </w:r>
    </w:p>
    <w:p w14:paraId="692AADCE" w14:textId="77777777" w:rsidR="00EC5565" w:rsidRDefault="00EC5565"/>
  </w:footnote>
  <w:footnote w:type="continuationSeparator" w:id="0">
    <w:p w14:paraId="21B8474F" w14:textId="77777777" w:rsidR="00EC5565" w:rsidRDefault="00EC5565">
      <w:pPr>
        <w:spacing w:line="240" w:lineRule="auto"/>
      </w:pPr>
      <w:r>
        <w:continuationSeparator/>
      </w:r>
    </w:p>
    <w:p w14:paraId="35947818" w14:textId="77777777" w:rsidR="00EC5565" w:rsidRDefault="00EC55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FAF7E" w14:textId="77777777" w:rsidR="00D81202" w:rsidRPr="00D81202" w:rsidRDefault="00D81202" w:rsidP="00D81202">
    <w:pPr>
      <w:spacing w:after="0" w:line="240" w:lineRule="auto"/>
      <w:jc w:val="center"/>
      <w:rPr>
        <w:bCs/>
        <w:color w:val="4D4D4D"/>
      </w:rPr>
    </w:pPr>
    <w:r w:rsidRPr="00D81202">
      <w:rPr>
        <w:bCs/>
        <w:color w:val="4D4D4D"/>
      </w:rPr>
      <w:t>Licensing authorities’ approach to the Equality Act</w:t>
    </w:r>
  </w:p>
  <w:p w14:paraId="46A14046" w14:textId="57C1D5EC" w:rsidR="00C6428D" w:rsidRPr="00D81202" w:rsidRDefault="00D81202" w:rsidP="00D81202">
    <w:pPr>
      <w:spacing w:line="240" w:lineRule="auto"/>
      <w:jc w:val="center"/>
      <w:rPr>
        <w:bCs/>
        <w:color w:val="4D4D4D"/>
      </w:rPr>
    </w:pPr>
    <w:r w:rsidRPr="00D81202">
      <w:rPr>
        <w:bCs/>
        <w:color w:val="4D4D4D"/>
      </w:rPr>
      <w:t>2010 provisions on taxi wheelchair discrimination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95D87" w14:textId="62E8DDE3" w:rsidR="00D81202" w:rsidRPr="00D81202" w:rsidRDefault="00066AEA" w:rsidP="00D81202">
    <w:pPr>
      <w:pStyle w:val="Header"/>
      <w:spacing w:after="0"/>
      <w:jc w:val="center"/>
      <w:rPr>
        <w:rStyle w:val="Strong"/>
        <w:b w:val="0"/>
        <w:color w:val="4D4D4D"/>
      </w:rPr>
    </w:pPr>
    <w:r w:rsidRPr="00D81202">
      <w:rPr>
        <w:rStyle w:val="Strong"/>
        <w:b w:val="0"/>
        <w:color w:val="4D4D4D"/>
      </w:rPr>
      <w:t>Licensing authorities’ approach to the Equality Act</w:t>
    </w:r>
  </w:p>
  <w:p w14:paraId="1743C882" w14:textId="1B1F8120" w:rsidR="00C6428D" w:rsidRPr="00D81202" w:rsidRDefault="00066AEA" w:rsidP="00D81202">
    <w:pPr>
      <w:pStyle w:val="Header"/>
      <w:jc w:val="center"/>
      <w:rPr>
        <w:bCs/>
        <w:color w:val="4D4D4D"/>
      </w:rPr>
    </w:pPr>
    <w:r w:rsidRPr="00D81202">
      <w:rPr>
        <w:rStyle w:val="Strong"/>
        <w:b w:val="0"/>
        <w:color w:val="4D4D4D"/>
      </w:rPr>
      <w:t>2010 provisions on taxi wheelchair discrimination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0ADF2" w14:textId="77777777" w:rsidR="00D81202" w:rsidRPr="00D81202" w:rsidRDefault="00D81202" w:rsidP="00D81202">
    <w:pPr>
      <w:spacing w:after="0" w:line="240" w:lineRule="auto"/>
      <w:jc w:val="center"/>
      <w:rPr>
        <w:bCs/>
        <w:color w:val="4D4D4D"/>
      </w:rPr>
    </w:pPr>
    <w:r w:rsidRPr="00D81202">
      <w:rPr>
        <w:bCs/>
        <w:color w:val="4D4D4D"/>
      </w:rPr>
      <w:t>Licensing authorities’ approach to the Equality Act</w:t>
    </w:r>
  </w:p>
  <w:p w14:paraId="2BB40132" w14:textId="2FBE760D" w:rsidR="00C6428D" w:rsidRPr="00D81202" w:rsidRDefault="00D81202" w:rsidP="00D81202">
    <w:pPr>
      <w:spacing w:line="240" w:lineRule="auto"/>
      <w:jc w:val="center"/>
      <w:rPr>
        <w:bCs/>
        <w:color w:val="4D4D4D"/>
      </w:rPr>
    </w:pPr>
    <w:r w:rsidRPr="00D81202">
      <w:rPr>
        <w:bCs/>
        <w:color w:val="4D4D4D"/>
      </w:rPr>
      <w:t>2010 provisions on taxi wheelchair discrimination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611EE" w14:textId="77777777" w:rsidR="00D81202" w:rsidRPr="00D81202" w:rsidRDefault="00D81202" w:rsidP="00D81202">
    <w:pPr>
      <w:spacing w:after="0" w:line="240" w:lineRule="auto"/>
      <w:jc w:val="center"/>
      <w:rPr>
        <w:bCs/>
        <w:color w:val="4D4D4D"/>
      </w:rPr>
    </w:pPr>
    <w:r w:rsidRPr="00D81202">
      <w:rPr>
        <w:bCs/>
        <w:color w:val="4D4D4D"/>
      </w:rPr>
      <w:t>Licensing authorities’ approach to the Equality Act</w:t>
    </w:r>
  </w:p>
  <w:p w14:paraId="5CF14A0D" w14:textId="3C633DA8" w:rsidR="00C6428D" w:rsidRPr="00D81202" w:rsidRDefault="00D81202" w:rsidP="00D81202">
    <w:pPr>
      <w:spacing w:line="240" w:lineRule="auto"/>
      <w:jc w:val="center"/>
      <w:rPr>
        <w:bCs/>
        <w:color w:val="4D4D4D"/>
      </w:rPr>
    </w:pPr>
    <w:r w:rsidRPr="00D81202">
      <w:rPr>
        <w:bCs/>
        <w:color w:val="4D4D4D"/>
      </w:rPr>
      <w:t>2010 provisions on taxi wheelchair discrimination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3C30A4B"/>
    <w:multiLevelType w:val="hybridMultilevel"/>
    <w:tmpl w:val="05FCD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5D15B4"/>
    <w:multiLevelType w:val="hybridMultilevel"/>
    <w:tmpl w:val="81063D6A"/>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21050627"/>
    <w:multiLevelType w:val="hybridMultilevel"/>
    <w:tmpl w:val="7B52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D7155"/>
    <w:multiLevelType w:val="hybridMultilevel"/>
    <w:tmpl w:val="72FEECEE"/>
    <w:lvl w:ilvl="0" w:tplc="F3CEEC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AB1C70"/>
    <w:multiLevelType w:val="hybridMultilevel"/>
    <w:tmpl w:val="4E94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F7D2C"/>
    <w:multiLevelType w:val="hybridMultilevel"/>
    <w:tmpl w:val="9B74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C76CA"/>
    <w:multiLevelType w:val="hybridMultilevel"/>
    <w:tmpl w:val="CD224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D19BB"/>
    <w:multiLevelType w:val="hybridMultilevel"/>
    <w:tmpl w:val="5F581E74"/>
    <w:lvl w:ilvl="0" w:tplc="9E3836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787363"/>
    <w:multiLevelType w:val="hybridMultilevel"/>
    <w:tmpl w:val="D40C5B5E"/>
    <w:lvl w:ilvl="0" w:tplc="4DE25F2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2262CF"/>
    <w:multiLevelType w:val="hybridMultilevel"/>
    <w:tmpl w:val="FAAC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FA07B8E"/>
    <w:multiLevelType w:val="hybridMultilevel"/>
    <w:tmpl w:val="94DC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D4856"/>
    <w:multiLevelType w:val="hybridMultilevel"/>
    <w:tmpl w:val="B35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2E65411"/>
    <w:multiLevelType w:val="hybridMultilevel"/>
    <w:tmpl w:val="A33A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4D4940"/>
    <w:multiLevelType w:val="hybridMultilevel"/>
    <w:tmpl w:val="A64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501CB7"/>
    <w:multiLevelType w:val="hybridMultilevel"/>
    <w:tmpl w:val="A318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A87D43"/>
    <w:multiLevelType w:val="hybridMultilevel"/>
    <w:tmpl w:val="0594618E"/>
    <w:lvl w:ilvl="0" w:tplc="92E872AC">
      <w:start w:val="1"/>
      <w:numFmt w:val="lowerLetter"/>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28"/>
  </w:num>
  <w:num w:numId="13">
    <w:abstractNumId w:val="23"/>
  </w:num>
  <w:num w:numId="14">
    <w:abstractNumId w:val="20"/>
  </w:num>
  <w:num w:numId="15">
    <w:abstractNumId w:val="27"/>
  </w:num>
  <w:num w:numId="16">
    <w:abstractNumId w:val="17"/>
  </w:num>
  <w:num w:numId="17">
    <w:abstractNumId w:val="13"/>
  </w:num>
  <w:num w:numId="18">
    <w:abstractNumId w:val="15"/>
  </w:num>
  <w:num w:numId="19">
    <w:abstractNumId w:val="22"/>
  </w:num>
  <w:num w:numId="20">
    <w:abstractNumId w:val="12"/>
  </w:num>
  <w:num w:numId="21">
    <w:abstractNumId w:val="14"/>
  </w:num>
  <w:num w:numId="22">
    <w:abstractNumId w:val="18"/>
  </w:num>
  <w:num w:numId="23">
    <w:abstractNumId w:val="29"/>
  </w:num>
  <w:num w:numId="24">
    <w:abstractNumId w:val="29"/>
    <w:lvlOverride w:ilvl="0">
      <w:startOverride w:val="1"/>
    </w:lvlOverride>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29"/>
    <w:lvlOverride w:ilvl="0">
      <w:startOverride w:val="1"/>
    </w:lvlOverride>
  </w:num>
  <w:num w:numId="29">
    <w:abstractNumId w:val="29"/>
    <w:lvlOverride w:ilvl="0">
      <w:startOverride w:val="1"/>
    </w:lvlOverride>
  </w:num>
  <w:num w:numId="30">
    <w:abstractNumId w:val="29"/>
    <w:lvlOverride w:ilvl="0">
      <w:startOverride w:val="1"/>
    </w:lvlOverride>
  </w:num>
  <w:num w:numId="31">
    <w:abstractNumId w:val="24"/>
  </w:num>
  <w:num w:numId="32">
    <w:abstractNumId w:val="21"/>
  </w:num>
  <w:num w:numId="33">
    <w:abstractNumId w:val="11"/>
  </w:num>
  <w:num w:numId="34">
    <w:abstractNumId w:val="25"/>
  </w:num>
  <w:num w:numId="35">
    <w:abstractNumId w:val="18"/>
    <w:lvlOverride w:ilvl="0">
      <w:startOverride w:val="1"/>
    </w:lvlOverride>
  </w:num>
  <w:num w:numId="36">
    <w:abstractNumId w:val="10"/>
  </w:num>
  <w:num w:numId="37">
    <w:abstractNumId w:val="19"/>
  </w:num>
  <w:num w:numId="38">
    <w:abstractNumId w:val="16"/>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GB" w:vendorID="64" w:dllVersion="0" w:nlCheck="1" w:checkStyle="0"/>
  <w:proofState w:spelling="clean"/>
  <w:defaultTabStop w:val="720"/>
  <w:characterSpacingControl w:val="doNotCompress"/>
  <w:hdrShapeDefaults>
    <o:shapedefaults v:ext="edit" spidmax="2049"/>
  </w:hdrShapeDefaults>
  <w:footnotePr>
    <w:pos w:val="beneathText"/>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83"/>
    <w:rsid w:val="00001CBA"/>
    <w:rsid w:val="000114CF"/>
    <w:rsid w:val="0001210E"/>
    <w:rsid w:val="000127C6"/>
    <w:rsid w:val="00015355"/>
    <w:rsid w:val="00016481"/>
    <w:rsid w:val="00017AF4"/>
    <w:rsid w:val="00023479"/>
    <w:rsid w:val="00027D8F"/>
    <w:rsid w:val="00033792"/>
    <w:rsid w:val="00050319"/>
    <w:rsid w:val="00053F8D"/>
    <w:rsid w:val="000559BA"/>
    <w:rsid w:val="000646E6"/>
    <w:rsid w:val="00066AEA"/>
    <w:rsid w:val="000713AE"/>
    <w:rsid w:val="00073478"/>
    <w:rsid w:val="00073CF4"/>
    <w:rsid w:val="00081989"/>
    <w:rsid w:val="00083734"/>
    <w:rsid w:val="0008418C"/>
    <w:rsid w:val="00085BF8"/>
    <w:rsid w:val="000934E5"/>
    <w:rsid w:val="000A485F"/>
    <w:rsid w:val="000B131C"/>
    <w:rsid w:val="000B3686"/>
    <w:rsid w:val="000B3869"/>
    <w:rsid w:val="000C4555"/>
    <w:rsid w:val="000D309C"/>
    <w:rsid w:val="000D36FB"/>
    <w:rsid w:val="000D3F41"/>
    <w:rsid w:val="000D6254"/>
    <w:rsid w:val="000E44FB"/>
    <w:rsid w:val="000F0518"/>
    <w:rsid w:val="000F09B7"/>
    <w:rsid w:val="000F0CC9"/>
    <w:rsid w:val="000F52AC"/>
    <w:rsid w:val="00110325"/>
    <w:rsid w:val="001207DE"/>
    <w:rsid w:val="00122756"/>
    <w:rsid w:val="00122A38"/>
    <w:rsid w:val="00132AE7"/>
    <w:rsid w:val="00133DE2"/>
    <w:rsid w:val="00135FF0"/>
    <w:rsid w:val="001427AE"/>
    <w:rsid w:val="00145EB4"/>
    <w:rsid w:val="00152BEA"/>
    <w:rsid w:val="001548A3"/>
    <w:rsid w:val="00154C3A"/>
    <w:rsid w:val="00166D2F"/>
    <w:rsid w:val="0017730E"/>
    <w:rsid w:val="00180E78"/>
    <w:rsid w:val="00183D29"/>
    <w:rsid w:val="00187BC8"/>
    <w:rsid w:val="00190820"/>
    <w:rsid w:val="001A1FDE"/>
    <w:rsid w:val="001A22F4"/>
    <w:rsid w:val="001B1CDF"/>
    <w:rsid w:val="001B2D6D"/>
    <w:rsid w:val="001B5AE3"/>
    <w:rsid w:val="001C054D"/>
    <w:rsid w:val="001C50B6"/>
    <w:rsid w:val="001D4121"/>
    <w:rsid w:val="001D56FB"/>
    <w:rsid w:val="001E24CD"/>
    <w:rsid w:val="001F271E"/>
    <w:rsid w:val="001F2D40"/>
    <w:rsid w:val="00203081"/>
    <w:rsid w:val="002037BD"/>
    <w:rsid w:val="00204990"/>
    <w:rsid w:val="00206A7F"/>
    <w:rsid w:val="002107A2"/>
    <w:rsid w:val="00213BAA"/>
    <w:rsid w:val="00214533"/>
    <w:rsid w:val="0022043E"/>
    <w:rsid w:val="00220F81"/>
    <w:rsid w:val="00234A37"/>
    <w:rsid w:val="00236B48"/>
    <w:rsid w:val="00245347"/>
    <w:rsid w:val="00247F48"/>
    <w:rsid w:val="0025015A"/>
    <w:rsid w:val="00251DB4"/>
    <w:rsid w:val="00257948"/>
    <w:rsid w:val="00266A4B"/>
    <w:rsid w:val="0027178F"/>
    <w:rsid w:val="00271CDF"/>
    <w:rsid w:val="002768F7"/>
    <w:rsid w:val="00276C29"/>
    <w:rsid w:val="0028337E"/>
    <w:rsid w:val="002839BF"/>
    <w:rsid w:val="00285285"/>
    <w:rsid w:val="00297E88"/>
    <w:rsid w:val="002A0182"/>
    <w:rsid w:val="002A4449"/>
    <w:rsid w:val="002B00B9"/>
    <w:rsid w:val="002B0456"/>
    <w:rsid w:val="002B621B"/>
    <w:rsid w:val="002D0EE3"/>
    <w:rsid w:val="002D4C24"/>
    <w:rsid w:val="002F15E4"/>
    <w:rsid w:val="002F4A0F"/>
    <w:rsid w:val="0030310A"/>
    <w:rsid w:val="003071DC"/>
    <w:rsid w:val="00322479"/>
    <w:rsid w:val="00323627"/>
    <w:rsid w:val="0033734B"/>
    <w:rsid w:val="003406BF"/>
    <w:rsid w:val="00345BB7"/>
    <w:rsid w:val="00350204"/>
    <w:rsid w:val="00355D41"/>
    <w:rsid w:val="00355DCA"/>
    <w:rsid w:val="003573C2"/>
    <w:rsid w:val="00357C19"/>
    <w:rsid w:val="00361507"/>
    <w:rsid w:val="0036302A"/>
    <w:rsid w:val="00366660"/>
    <w:rsid w:val="00370215"/>
    <w:rsid w:val="00377CC9"/>
    <w:rsid w:val="00380450"/>
    <w:rsid w:val="00386873"/>
    <w:rsid w:val="00386E1A"/>
    <w:rsid w:val="003954F6"/>
    <w:rsid w:val="003A1B51"/>
    <w:rsid w:val="003A620B"/>
    <w:rsid w:val="003B1F6D"/>
    <w:rsid w:val="003B379E"/>
    <w:rsid w:val="003B52A0"/>
    <w:rsid w:val="003B5BC0"/>
    <w:rsid w:val="003B69E5"/>
    <w:rsid w:val="003E0D46"/>
    <w:rsid w:val="003E203E"/>
    <w:rsid w:val="004077D6"/>
    <w:rsid w:val="00411580"/>
    <w:rsid w:val="00422E66"/>
    <w:rsid w:val="00424AD0"/>
    <w:rsid w:val="00425059"/>
    <w:rsid w:val="00426DCE"/>
    <w:rsid w:val="00427FDC"/>
    <w:rsid w:val="00430EDA"/>
    <w:rsid w:val="0043169A"/>
    <w:rsid w:val="004414B3"/>
    <w:rsid w:val="0044336A"/>
    <w:rsid w:val="00446650"/>
    <w:rsid w:val="00451681"/>
    <w:rsid w:val="00453B75"/>
    <w:rsid w:val="0045612C"/>
    <w:rsid w:val="00460A47"/>
    <w:rsid w:val="004611DD"/>
    <w:rsid w:val="00462E39"/>
    <w:rsid w:val="004653DF"/>
    <w:rsid w:val="00465774"/>
    <w:rsid w:val="0047508A"/>
    <w:rsid w:val="00481FE2"/>
    <w:rsid w:val="00483294"/>
    <w:rsid w:val="004A1DF3"/>
    <w:rsid w:val="004A24F7"/>
    <w:rsid w:val="004A318C"/>
    <w:rsid w:val="004A6C40"/>
    <w:rsid w:val="004B44D4"/>
    <w:rsid w:val="004B5B4B"/>
    <w:rsid w:val="004B5F2C"/>
    <w:rsid w:val="004C1E40"/>
    <w:rsid w:val="004D1892"/>
    <w:rsid w:val="004D25DC"/>
    <w:rsid w:val="004E3DBA"/>
    <w:rsid w:val="00514D5C"/>
    <w:rsid w:val="00516239"/>
    <w:rsid w:val="00530C7F"/>
    <w:rsid w:val="00531D0A"/>
    <w:rsid w:val="00537E5A"/>
    <w:rsid w:val="0054657A"/>
    <w:rsid w:val="005477DD"/>
    <w:rsid w:val="00551A02"/>
    <w:rsid w:val="005534FA"/>
    <w:rsid w:val="00556C1A"/>
    <w:rsid w:val="00575516"/>
    <w:rsid w:val="0058479C"/>
    <w:rsid w:val="005864DC"/>
    <w:rsid w:val="00590E86"/>
    <w:rsid w:val="005A1BFE"/>
    <w:rsid w:val="005A1C92"/>
    <w:rsid w:val="005B6987"/>
    <w:rsid w:val="005C032A"/>
    <w:rsid w:val="005D3A03"/>
    <w:rsid w:val="005D4472"/>
    <w:rsid w:val="005E288A"/>
    <w:rsid w:val="005E4917"/>
    <w:rsid w:val="005E54DF"/>
    <w:rsid w:val="005F08BA"/>
    <w:rsid w:val="005F1733"/>
    <w:rsid w:val="006022EB"/>
    <w:rsid w:val="0060588C"/>
    <w:rsid w:val="00614703"/>
    <w:rsid w:val="006227B4"/>
    <w:rsid w:val="00623503"/>
    <w:rsid w:val="00626048"/>
    <w:rsid w:val="00637429"/>
    <w:rsid w:val="00637693"/>
    <w:rsid w:val="00653F1D"/>
    <w:rsid w:val="00654D8C"/>
    <w:rsid w:val="006626A4"/>
    <w:rsid w:val="00662AF0"/>
    <w:rsid w:val="00664069"/>
    <w:rsid w:val="00664D0C"/>
    <w:rsid w:val="006661C1"/>
    <w:rsid w:val="00682026"/>
    <w:rsid w:val="006820F3"/>
    <w:rsid w:val="00683BEE"/>
    <w:rsid w:val="0068654A"/>
    <w:rsid w:val="00687BBF"/>
    <w:rsid w:val="006A0ABA"/>
    <w:rsid w:val="006A2965"/>
    <w:rsid w:val="006A5E60"/>
    <w:rsid w:val="006B28FC"/>
    <w:rsid w:val="006B71F5"/>
    <w:rsid w:val="006C36F1"/>
    <w:rsid w:val="006C639F"/>
    <w:rsid w:val="006E3DC6"/>
    <w:rsid w:val="006F2E30"/>
    <w:rsid w:val="006F3E94"/>
    <w:rsid w:val="00712BC7"/>
    <w:rsid w:val="0072418F"/>
    <w:rsid w:val="007277B2"/>
    <w:rsid w:val="00753BE5"/>
    <w:rsid w:val="00757AEE"/>
    <w:rsid w:val="00761DA5"/>
    <w:rsid w:val="007623F1"/>
    <w:rsid w:val="00770722"/>
    <w:rsid w:val="007708D8"/>
    <w:rsid w:val="00772362"/>
    <w:rsid w:val="00775976"/>
    <w:rsid w:val="007865A5"/>
    <w:rsid w:val="00786B4F"/>
    <w:rsid w:val="0079162C"/>
    <w:rsid w:val="007934D8"/>
    <w:rsid w:val="00794951"/>
    <w:rsid w:val="007A6860"/>
    <w:rsid w:val="007B7645"/>
    <w:rsid w:val="007C0EB1"/>
    <w:rsid w:val="007C3CC1"/>
    <w:rsid w:val="007C5137"/>
    <w:rsid w:val="007F1ED5"/>
    <w:rsid w:val="007F2DAA"/>
    <w:rsid w:val="008002C0"/>
    <w:rsid w:val="00803776"/>
    <w:rsid w:val="00806CC5"/>
    <w:rsid w:val="008142CD"/>
    <w:rsid w:val="00821EFC"/>
    <w:rsid w:val="008229E9"/>
    <w:rsid w:val="00830CC9"/>
    <w:rsid w:val="0083423C"/>
    <w:rsid w:val="00845FAD"/>
    <w:rsid w:val="00846795"/>
    <w:rsid w:val="00851012"/>
    <w:rsid w:val="008511F1"/>
    <w:rsid w:val="008520C2"/>
    <w:rsid w:val="008533A7"/>
    <w:rsid w:val="008536C1"/>
    <w:rsid w:val="00871352"/>
    <w:rsid w:val="008732DA"/>
    <w:rsid w:val="00874B78"/>
    <w:rsid w:val="00874B96"/>
    <w:rsid w:val="008770B7"/>
    <w:rsid w:val="00881C45"/>
    <w:rsid w:val="00891A3E"/>
    <w:rsid w:val="00894E4D"/>
    <w:rsid w:val="008A3BD3"/>
    <w:rsid w:val="008C376A"/>
    <w:rsid w:val="008C5323"/>
    <w:rsid w:val="008D05C5"/>
    <w:rsid w:val="008D63FF"/>
    <w:rsid w:val="008E3661"/>
    <w:rsid w:val="008E4C16"/>
    <w:rsid w:val="008F2F84"/>
    <w:rsid w:val="008F5493"/>
    <w:rsid w:val="009010B4"/>
    <w:rsid w:val="0091023B"/>
    <w:rsid w:val="009158BE"/>
    <w:rsid w:val="009164A3"/>
    <w:rsid w:val="00916A08"/>
    <w:rsid w:val="009221C5"/>
    <w:rsid w:val="0093425C"/>
    <w:rsid w:val="00946DCD"/>
    <w:rsid w:val="00957436"/>
    <w:rsid w:val="00973ACA"/>
    <w:rsid w:val="009758D7"/>
    <w:rsid w:val="00975BBE"/>
    <w:rsid w:val="0097628D"/>
    <w:rsid w:val="00991C57"/>
    <w:rsid w:val="009942FD"/>
    <w:rsid w:val="009A0792"/>
    <w:rsid w:val="009A3268"/>
    <w:rsid w:val="009A6A3B"/>
    <w:rsid w:val="009B0A88"/>
    <w:rsid w:val="009B3334"/>
    <w:rsid w:val="009B519F"/>
    <w:rsid w:val="009C2DEC"/>
    <w:rsid w:val="009D58C5"/>
    <w:rsid w:val="009E1B75"/>
    <w:rsid w:val="009E3D80"/>
    <w:rsid w:val="009E61D8"/>
    <w:rsid w:val="009E6224"/>
    <w:rsid w:val="009F174B"/>
    <w:rsid w:val="009F2964"/>
    <w:rsid w:val="009F2AFF"/>
    <w:rsid w:val="009F5DA3"/>
    <w:rsid w:val="00A00350"/>
    <w:rsid w:val="00A0289B"/>
    <w:rsid w:val="00A029E0"/>
    <w:rsid w:val="00A03195"/>
    <w:rsid w:val="00A06DE8"/>
    <w:rsid w:val="00A11CD1"/>
    <w:rsid w:val="00A1269C"/>
    <w:rsid w:val="00A178A6"/>
    <w:rsid w:val="00A17C30"/>
    <w:rsid w:val="00A21688"/>
    <w:rsid w:val="00A37E40"/>
    <w:rsid w:val="00A42422"/>
    <w:rsid w:val="00A64081"/>
    <w:rsid w:val="00A664D2"/>
    <w:rsid w:val="00A66F09"/>
    <w:rsid w:val="00A673C2"/>
    <w:rsid w:val="00A71FC8"/>
    <w:rsid w:val="00A75E60"/>
    <w:rsid w:val="00A84B3D"/>
    <w:rsid w:val="00A86586"/>
    <w:rsid w:val="00A944CE"/>
    <w:rsid w:val="00A97A90"/>
    <w:rsid w:val="00AA0664"/>
    <w:rsid w:val="00AA388F"/>
    <w:rsid w:val="00AA7010"/>
    <w:rsid w:val="00AB296E"/>
    <w:rsid w:val="00AB2D59"/>
    <w:rsid w:val="00AB6AB1"/>
    <w:rsid w:val="00AC6866"/>
    <w:rsid w:val="00AD1BAD"/>
    <w:rsid w:val="00AD22EB"/>
    <w:rsid w:val="00AD5A78"/>
    <w:rsid w:val="00AD7172"/>
    <w:rsid w:val="00AD7916"/>
    <w:rsid w:val="00AE2670"/>
    <w:rsid w:val="00AE28B7"/>
    <w:rsid w:val="00AE5249"/>
    <w:rsid w:val="00AF117A"/>
    <w:rsid w:val="00AF5036"/>
    <w:rsid w:val="00B01FF7"/>
    <w:rsid w:val="00B05120"/>
    <w:rsid w:val="00B069F5"/>
    <w:rsid w:val="00B11F35"/>
    <w:rsid w:val="00B14E21"/>
    <w:rsid w:val="00B177DD"/>
    <w:rsid w:val="00B24DCB"/>
    <w:rsid w:val="00B26373"/>
    <w:rsid w:val="00B324B0"/>
    <w:rsid w:val="00B34809"/>
    <w:rsid w:val="00B34B78"/>
    <w:rsid w:val="00B37A44"/>
    <w:rsid w:val="00B420AB"/>
    <w:rsid w:val="00B477A2"/>
    <w:rsid w:val="00B50333"/>
    <w:rsid w:val="00B52193"/>
    <w:rsid w:val="00B55810"/>
    <w:rsid w:val="00B70241"/>
    <w:rsid w:val="00B823AA"/>
    <w:rsid w:val="00B87A63"/>
    <w:rsid w:val="00B959CE"/>
    <w:rsid w:val="00B95A2C"/>
    <w:rsid w:val="00BA45DB"/>
    <w:rsid w:val="00BA6F55"/>
    <w:rsid w:val="00BB0594"/>
    <w:rsid w:val="00BC17DA"/>
    <w:rsid w:val="00BD361D"/>
    <w:rsid w:val="00BD5723"/>
    <w:rsid w:val="00BD5F5B"/>
    <w:rsid w:val="00BF4184"/>
    <w:rsid w:val="00BF758F"/>
    <w:rsid w:val="00C00560"/>
    <w:rsid w:val="00C04EC4"/>
    <w:rsid w:val="00C0601E"/>
    <w:rsid w:val="00C1175C"/>
    <w:rsid w:val="00C2283D"/>
    <w:rsid w:val="00C22900"/>
    <w:rsid w:val="00C25EEE"/>
    <w:rsid w:val="00C31D30"/>
    <w:rsid w:val="00C34AFA"/>
    <w:rsid w:val="00C41556"/>
    <w:rsid w:val="00C447FC"/>
    <w:rsid w:val="00C45B02"/>
    <w:rsid w:val="00C468DB"/>
    <w:rsid w:val="00C47CAC"/>
    <w:rsid w:val="00C53DAF"/>
    <w:rsid w:val="00C607AB"/>
    <w:rsid w:val="00C60BCC"/>
    <w:rsid w:val="00C61A83"/>
    <w:rsid w:val="00C61EA5"/>
    <w:rsid w:val="00C63DD6"/>
    <w:rsid w:val="00C6428D"/>
    <w:rsid w:val="00C73B08"/>
    <w:rsid w:val="00C84E79"/>
    <w:rsid w:val="00C91E1D"/>
    <w:rsid w:val="00C948B8"/>
    <w:rsid w:val="00CA1640"/>
    <w:rsid w:val="00CB2D6C"/>
    <w:rsid w:val="00CB2E42"/>
    <w:rsid w:val="00CD6E39"/>
    <w:rsid w:val="00CF6E91"/>
    <w:rsid w:val="00D10595"/>
    <w:rsid w:val="00D107E7"/>
    <w:rsid w:val="00D1119D"/>
    <w:rsid w:val="00D21952"/>
    <w:rsid w:val="00D43B1E"/>
    <w:rsid w:val="00D51483"/>
    <w:rsid w:val="00D60FCE"/>
    <w:rsid w:val="00D64E9E"/>
    <w:rsid w:val="00D726D9"/>
    <w:rsid w:val="00D7621D"/>
    <w:rsid w:val="00D81202"/>
    <w:rsid w:val="00D84D25"/>
    <w:rsid w:val="00D85B68"/>
    <w:rsid w:val="00D86B8C"/>
    <w:rsid w:val="00D87381"/>
    <w:rsid w:val="00D904E8"/>
    <w:rsid w:val="00D937CA"/>
    <w:rsid w:val="00D93BC7"/>
    <w:rsid w:val="00D97805"/>
    <w:rsid w:val="00DB6009"/>
    <w:rsid w:val="00DC4B97"/>
    <w:rsid w:val="00DC5846"/>
    <w:rsid w:val="00DD01A2"/>
    <w:rsid w:val="00DD2913"/>
    <w:rsid w:val="00DD7A46"/>
    <w:rsid w:val="00E00EDD"/>
    <w:rsid w:val="00E140B8"/>
    <w:rsid w:val="00E1520E"/>
    <w:rsid w:val="00E161A3"/>
    <w:rsid w:val="00E21F36"/>
    <w:rsid w:val="00E22D11"/>
    <w:rsid w:val="00E409C1"/>
    <w:rsid w:val="00E43666"/>
    <w:rsid w:val="00E43A46"/>
    <w:rsid w:val="00E44F34"/>
    <w:rsid w:val="00E5152A"/>
    <w:rsid w:val="00E52302"/>
    <w:rsid w:val="00E536D4"/>
    <w:rsid w:val="00E6004D"/>
    <w:rsid w:val="00E61682"/>
    <w:rsid w:val="00E81978"/>
    <w:rsid w:val="00E820F2"/>
    <w:rsid w:val="00E82536"/>
    <w:rsid w:val="00E868DD"/>
    <w:rsid w:val="00E9027C"/>
    <w:rsid w:val="00E97A33"/>
    <w:rsid w:val="00EA0795"/>
    <w:rsid w:val="00EA09A8"/>
    <w:rsid w:val="00EA1B55"/>
    <w:rsid w:val="00EA751A"/>
    <w:rsid w:val="00EA7904"/>
    <w:rsid w:val="00EB482B"/>
    <w:rsid w:val="00EC13C2"/>
    <w:rsid w:val="00EC31B9"/>
    <w:rsid w:val="00EC5565"/>
    <w:rsid w:val="00EC6E0D"/>
    <w:rsid w:val="00ED0F9E"/>
    <w:rsid w:val="00ED2662"/>
    <w:rsid w:val="00ED3E77"/>
    <w:rsid w:val="00EE5923"/>
    <w:rsid w:val="00EF3D81"/>
    <w:rsid w:val="00EF4D4E"/>
    <w:rsid w:val="00F04A91"/>
    <w:rsid w:val="00F07156"/>
    <w:rsid w:val="00F17319"/>
    <w:rsid w:val="00F32C8A"/>
    <w:rsid w:val="00F35787"/>
    <w:rsid w:val="00F379B7"/>
    <w:rsid w:val="00F525FA"/>
    <w:rsid w:val="00F5297A"/>
    <w:rsid w:val="00F664F8"/>
    <w:rsid w:val="00F66B87"/>
    <w:rsid w:val="00F71D55"/>
    <w:rsid w:val="00F73288"/>
    <w:rsid w:val="00F7358F"/>
    <w:rsid w:val="00F84034"/>
    <w:rsid w:val="00F858B3"/>
    <w:rsid w:val="00F86495"/>
    <w:rsid w:val="00F92600"/>
    <w:rsid w:val="00F92FEC"/>
    <w:rsid w:val="00F96B5C"/>
    <w:rsid w:val="00FA3197"/>
    <w:rsid w:val="00FB2896"/>
    <w:rsid w:val="00FB428B"/>
    <w:rsid w:val="00FB48E6"/>
    <w:rsid w:val="00FB7995"/>
    <w:rsid w:val="00FD162D"/>
    <w:rsid w:val="00FD2625"/>
    <w:rsid w:val="00FE2BCC"/>
    <w:rsid w:val="00FF05C1"/>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9DB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SimSun" w:hAnsi="Corbe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1202"/>
    <w:pPr>
      <w:spacing w:after="160" w:line="252" w:lineRule="auto"/>
      <w:jc w:val="both"/>
    </w:pPr>
    <w:rPr>
      <w:sz w:val="24"/>
      <w:szCs w:val="22"/>
      <w:lang w:eastAsia="ja-JP"/>
    </w:rPr>
  </w:style>
  <w:style w:type="paragraph" w:styleId="Heading1">
    <w:name w:val="heading 1"/>
    <w:basedOn w:val="Normal"/>
    <w:next w:val="Normal"/>
    <w:link w:val="Heading1Char"/>
    <w:uiPriority w:val="9"/>
    <w:qFormat/>
    <w:rsid w:val="0027178F"/>
    <w:pPr>
      <w:keepNext/>
      <w:keepLines/>
      <w:pageBreakBefore/>
      <w:numPr>
        <w:numId w:val="22"/>
      </w:numPr>
      <w:spacing w:before="320" w:after="40"/>
      <w:ind w:left="714" w:hanging="357"/>
      <w:jc w:val="center"/>
      <w:outlineLvl w:val="0"/>
    </w:pPr>
    <w:rPr>
      <w:b/>
      <w:bCs/>
      <w:caps/>
      <w:spacing w:val="4"/>
      <w:sz w:val="28"/>
      <w:szCs w:val="28"/>
    </w:rPr>
  </w:style>
  <w:style w:type="paragraph" w:styleId="Heading2">
    <w:name w:val="heading 2"/>
    <w:basedOn w:val="Normal"/>
    <w:next w:val="Normal"/>
    <w:link w:val="Heading2Char"/>
    <w:uiPriority w:val="9"/>
    <w:unhideWhenUsed/>
    <w:qFormat/>
    <w:rsid w:val="0027178F"/>
    <w:pPr>
      <w:keepNext/>
      <w:keepLines/>
      <w:numPr>
        <w:numId w:val="23"/>
      </w:numPr>
      <w:spacing w:before="280" w:after="0"/>
      <w:outlineLvl w:val="1"/>
    </w:pPr>
    <w:rPr>
      <w:b/>
      <w:bCs/>
      <w:i/>
      <w:sz w:val="28"/>
      <w:szCs w:val="28"/>
    </w:rPr>
  </w:style>
  <w:style w:type="paragraph" w:styleId="Heading3">
    <w:name w:val="heading 3"/>
    <w:basedOn w:val="Normal"/>
    <w:next w:val="Normal"/>
    <w:link w:val="Heading3Char"/>
    <w:uiPriority w:val="9"/>
    <w:unhideWhenUsed/>
    <w:qFormat/>
    <w:rsid w:val="00B95A2C"/>
    <w:pPr>
      <w:keepNext/>
      <w:keepLines/>
      <w:spacing w:before="120" w:after="0"/>
      <w:outlineLvl w:val="2"/>
    </w:pPr>
    <w:rPr>
      <w:b/>
      <w:spacing w:val="4"/>
      <w:szCs w:val="24"/>
    </w:rPr>
  </w:style>
  <w:style w:type="paragraph" w:styleId="Heading4">
    <w:name w:val="heading 4"/>
    <w:basedOn w:val="Normal"/>
    <w:next w:val="Normal"/>
    <w:link w:val="Heading4Char"/>
    <w:uiPriority w:val="9"/>
    <w:unhideWhenUsed/>
    <w:qFormat/>
    <w:rsid w:val="00D51483"/>
    <w:pPr>
      <w:keepNext/>
      <w:keepLines/>
      <w:spacing w:before="120" w:after="0"/>
      <w:outlineLvl w:val="3"/>
    </w:pPr>
    <w:rPr>
      <w:i/>
      <w:iCs/>
      <w:szCs w:val="24"/>
    </w:rPr>
  </w:style>
  <w:style w:type="paragraph" w:styleId="Heading5">
    <w:name w:val="heading 5"/>
    <w:basedOn w:val="Normal"/>
    <w:next w:val="Normal"/>
    <w:link w:val="Heading5Char"/>
    <w:uiPriority w:val="9"/>
    <w:unhideWhenUsed/>
    <w:qFormat/>
    <w:rsid w:val="00D51483"/>
    <w:pPr>
      <w:keepNext/>
      <w:keepLines/>
      <w:spacing w:before="120" w:after="0"/>
      <w:outlineLvl w:val="4"/>
    </w:pPr>
    <w:rPr>
      <w:b/>
      <w:bCs/>
    </w:rPr>
  </w:style>
  <w:style w:type="paragraph" w:styleId="Heading6">
    <w:name w:val="heading 6"/>
    <w:basedOn w:val="Normal"/>
    <w:next w:val="Normal"/>
    <w:link w:val="Heading6Char"/>
    <w:uiPriority w:val="9"/>
    <w:semiHidden/>
    <w:unhideWhenUsed/>
    <w:qFormat/>
    <w:rsid w:val="00D51483"/>
    <w:pPr>
      <w:keepNext/>
      <w:keepLines/>
      <w:spacing w:before="120" w:after="0"/>
      <w:outlineLvl w:val="5"/>
    </w:pPr>
    <w:rPr>
      <w:b/>
      <w:bCs/>
      <w:i/>
      <w:iCs/>
    </w:rPr>
  </w:style>
  <w:style w:type="paragraph" w:styleId="Heading7">
    <w:name w:val="heading 7"/>
    <w:basedOn w:val="Normal"/>
    <w:next w:val="Normal"/>
    <w:link w:val="Heading7Char"/>
    <w:uiPriority w:val="9"/>
    <w:semiHidden/>
    <w:unhideWhenUsed/>
    <w:qFormat/>
    <w:rsid w:val="00D5148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5148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5148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pPr>
      <w:pageBreakBefore/>
      <w:jc w:val="center"/>
      <w:outlineLvl w:val="0"/>
    </w:pPr>
  </w:style>
  <w:style w:type="paragraph" w:styleId="Header">
    <w:name w:val="header"/>
    <w:basedOn w:val="Normal"/>
    <w:link w:val="HeaderChar"/>
    <w:uiPriority w:val="99"/>
    <w:unhideWhenUsed/>
    <w:pPr>
      <w:spacing w:line="240" w:lineRule="auto"/>
    </w:pPr>
  </w:style>
  <w:style w:type="character" w:customStyle="1" w:styleId="HeaderChar">
    <w:name w:val="Header Char"/>
    <w:link w:val="Header"/>
    <w:uiPriority w:val="99"/>
    <w:rPr>
      <w:kern w:val="24"/>
    </w:rPr>
  </w:style>
  <w:style w:type="character" w:styleId="Strong">
    <w:name w:val="Strong"/>
    <w:uiPriority w:val="22"/>
    <w:qFormat/>
    <w:rsid w:val="00D51483"/>
    <w:rPr>
      <w:b/>
      <w:bCs/>
      <w:color w:val="auto"/>
    </w:rPr>
  </w:style>
  <w:style w:type="character" w:styleId="PlaceholderText">
    <w:name w:val="Placeholder Text"/>
    <w:uiPriority w:val="99"/>
    <w:semiHidden/>
    <w:rsid w:val="005D3A03"/>
    <w:rPr>
      <w:color w:val="606060"/>
    </w:rPr>
  </w:style>
  <w:style w:type="paragraph" w:styleId="NoSpacing">
    <w:name w:val="No Spacing"/>
    <w:aliases w:val="No Indent"/>
    <w:uiPriority w:val="1"/>
    <w:qFormat/>
    <w:rsid w:val="00D51483"/>
    <w:pPr>
      <w:jc w:val="both"/>
    </w:pPr>
    <w:rPr>
      <w:sz w:val="22"/>
      <w:szCs w:val="22"/>
      <w:lang w:val="en-US" w:eastAsia="ja-JP"/>
    </w:rPr>
  </w:style>
  <w:style w:type="character" w:customStyle="1" w:styleId="Heading1Char">
    <w:name w:val="Heading 1 Char"/>
    <w:link w:val="Heading1"/>
    <w:uiPriority w:val="9"/>
    <w:rsid w:val="0027178F"/>
    <w:rPr>
      <w:b/>
      <w:bCs/>
      <w:caps/>
      <w:spacing w:val="4"/>
      <w:sz w:val="28"/>
      <w:szCs w:val="28"/>
      <w:lang w:val="en-US" w:eastAsia="ja-JP"/>
    </w:rPr>
  </w:style>
  <w:style w:type="character" w:customStyle="1" w:styleId="Heading2Char">
    <w:name w:val="Heading 2 Char"/>
    <w:link w:val="Heading2"/>
    <w:uiPriority w:val="9"/>
    <w:rsid w:val="0027178F"/>
    <w:rPr>
      <w:b/>
      <w:bCs/>
      <w:i/>
      <w:sz w:val="28"/>
      <w:szCs w:val="28"/>
      <w:lang w:val="en-US" w:eastAsia="ja-JP"/>
    </w:rPr>
  </w:style>
  <w:style w:type="paragraph" w:styleId="Title">
    <w:name w:val="Title"/>
    <w:basedOn w:val="Normal"/>
    <w:next w:val="Normal"/>
    <w:link w:val="TitleChar"/>
    <w:uiPriority w:val="10"/>
    <w:qFormat/>
    <w:rsid w:val="00D51483"/>
    <w:pPr>
      <w:spacing w:after="0" w:line="240" w:lineRule="auto"/>
      <w:contextualSpacing/>
      <w:jc w:val="center"/>
    </w:pPr>
    <w:rPr>
      <w:b/>
      <w:bCs/>
      <w:spacing w:val="-7"/>
      <w:sz w:val="48"/>
      <w:szCs w:val="48"/>
    </w:rPr>
  </w:style>
  <w:style w:type="character" w:customStyle="1" w:styleId="TitleChar">
    <w:name w:val="Title Char"/>
    <w:link w:val="Title"/>
    <w:uiPriority w:val="10"/>
    <w:rsid w:val="00D51483"/>
    <w:rPr>
      <w:rFonts w:ascii="Corbel" w:eastAsia="SimSun" w:hAnsi="Corbel" w:cs="Times New Roman"/>
      <w:b/>
      <w:bCs/>
      <w:spacing w:val="-7"/>
      <w:sz w:val="48"/>
      <w:szCs w:val="48"/>
    </w:rPr>
  </w:style>
  <w:style w:type="character" w:styleId="Emphasis">
    <w:name w:val="Emphasis"/>
    <w:uiPriority w:val="20"/>
    <w:qFormat/>
    <w:rsid w:val="00D51483"/>
    <w:rPr>
      <w:i/>
      <w:iCs/>
      <w:color w:val="auto"/>
    </w:rPr>
  </w:style>
  <w:style w:type="character" w:customStyle="1" w:styleId="Heading3Char">
    <w:name w:val="Heading 3 Char"/>
    <w:link w:val="Heading3"/>
    <w:uiPriority w:val="9"/>
    <w:rsid w:val="00B95A2C"/>
    <w:rPr>
      <w:b/>
      <w:spacing w:val="4"/>
      <w:sz w:val="24"/>
      <w:szCs w:val="24"/>
      <w:lang w:val="en-US" w:eastAsia="ja-JP"/>
    </w:rPr>
  </w:style>
  <w:style w:type="character" w:customStyle="1" w:styleId="Heading4Char">
    <w:name w:val="Heading 4 Char"/>
    <w:link w:val="Heading4"/>
    <w:uiPriority w:val="9"/>
    <w:rsid w:val="00D51483"/>
    <w:rPr>
      <w:rFonts w:ascii="Corbel" w:eastAsia="SimSun" w:hAnsi="Corbel" w:cs="Times New Roman"/>
      <w:i/>
      <w:iCs/>
      <w:sz w:val="24"/>
      <w:szCs w:val="24"/>
    </w:rPr>
  </w:style>
  <w:style w:type="character" w:customStyle="1" w:styleId="Heading5Char">
    <w:name w:val="Heading 5 Char"/>
    <w:link w:val="Heading5"/>
    <w:uiPriority w:val="9"/>
    <w:rsid w:val="00D51483"/>
    <w:rPr>
      <w:rFonts w:ascii="Corbel" w:eastAsia="SimSun" w:hAnsi="Corbel" w:cs="Times New Roman"/>
      <w:b/>
      <w:bCs/>
    </w:rPr>
  </w:style>
  <w:style w:type="paragraph" w:styleId="BalloonText">
    <w:name w:val="Balloon Text"/>
    <w:basedOn w:val="Normal"/>
    <w:link w:val="BalloonTextChar"/>
    <w:uiPriority w:val="99"/>
    <w:semiHidden/>
    <w:unhideWhenUsed/>
    <w:rsid w:val="00FF2002"/>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pPr>
      <w:ind w:left="720" w:hanging="720"/>
    </w:pPr>
  </w:style>
  <w:style w:type="paragraph" w:styleId="BlockText">
    <w:name w:val="Block Text"/>
    <w:basedOn w:val="Normal"/>
    <w:uiPriority w:val="99"/>
    <w:semiHidden/>
    <w:unhideWhenUsed/>
    <w:rsid w:val="009A6A3B"/>
    <w:pPr>
      <w:pBdr>
        <w:top w:val="single" w:sz="2" w:space="10" w:color="757575" w:shadow="1"/>
        <w:left w:val="single" w:sz="2" w:space="10" w:color="757575" w:shadow="1"/>
        <w:bottom w:val="single" w:sz="2" w:space="10" w:color="757575" w:shadow="1"/>
        <w:right w:val="single" w:sz="2" w:space="10" w:color="757575" w:shadow="1"/>
      </w:pBdr>
      <w:ind w:left="1152" w:right="1152"/>
    </w:pPr>
    <w:rPr>
      <w:i/>
      <w:iCs/>
      <w:color w:val="757575"/>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link w:val="BodyText"/>
    <w:uiPriority w:val="99"/>
    <w:semiHidden/>
    <w:rPr>
      <w:kern w:val="24"/>
    </w:rPr>
  </w:style>
  <w:style w:type="paragraph" w:styleId="BodyText2">
    <w:name w:val="Body Text 2"/>
    <w:basedOn w:val="Normal"/>
    <w:link w:val="BodyText2Char"/>
    <w:uiPriority w:val="99"/>
    <w:semiHidden/>
    <w:unhideWhenUsed/>
    <w:pPr>
      <w:spacing w:after="120"/>
    </w:pPr>
  </w:style>
  <w:style w:type="character" w:customStyle="1" w:styleId="BodyText2Char">
    <w:name w:val="Body Text 2 Char"/>
    <w:link w:val="BodyText2"/>
    <w:uiPriority w:val="99"/>
    <w:semiHidden/>
    <w:rPr>
      <w:kern w:val="24"/>
    </w:rPr>
  </w:style>
  <w:style w:type="paragraph" w:styleId="BodyText3">
    <w:name w:val="Body Text 3"/>
    <w:basedOn w:val="Normal"/>
    <w:link w:val="BodyText3Char"/>
    <w:uiPriority w:val="99"/>
    <w:semiHidden/>
    <w:unhideWhenUsed/>
    <w:rsid w:val="00FF2002"/>
    <w:pPr>
      <w:spacing w:after="120"/>
    </w:pPr>
    <w:rPr>
      <w:sz w:val="22"/>
      <w:szCs w:val="16"/>
    </w:rPr>
  </w:style>
  <w:style w:type="character" w:customStyle="1" w:styleId="BodyText3Char">
    <w:name w:val="Body Text 3 Char"/>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pPr>
  </w:style>
  <w:style w:type="character" w:customStyle="1" w:styleId="BodyTextIndent2Char">
    <w:name w:val="Body Text Indent 2 Char"/>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pPr>
    <w:rPr>
      <w:sz w:val="22"/>
      <w:szCs w:val="16"/>
    </w:rPr>
  </w:style>
  <w:style w:type="character" w:customStyle="1" w:styleId="BodyTextIndent3Char">
    <w:name w:val="Body Text Indent 3 Char"/>
    <w:link w:val="BodyTextIndent3"/>
    <w:uiPriority w:val="99"/>
    <w:semiHidden/>
    <w:rsid w:val="00FF2002"/>
    <w:rPr>
      <w:kern w:val="24"/>
      <w:sz w:val="22"/>
      <w:szCs w:val="16"/>
    </w:rPr>
  </w:style>
  <w:style w:type="paragraph" w:styleId="Caption">
    <w:name w:val="caption"/>
    <w:basedOn w:val="Normal"/>
    <w:next w:val="Normal"/>
    <w:autoRedefine/>
    <w:uiPriority w:val="35"/>
    <w:unhideWhenUsed/>
    <w:qFormat/>
    <w:rsid w:val="00B477A2"/>
    <w:pPr>
      <w:spacing w:after="0" w:line="240" w:lineRule="auto"/>
      <w:jc w:val="right"/>
      <w:textboxTightWrap w:val="allLines"/>
    </w:pPr>
    <w:rPr>
      <w:bCs/>
      <w:i/>
      <w:sz w:val="18"/>
      <w:szCs w:val="18"/>
    </w:rPr>
  </w:style>
  <w:style w:type="paragraph" w:styleId="Closing">
    <w:name w:val="Closing"/>
    <w:basedOn w:val="Normal"/>
    <w:link w:val="ClosingChar"/>
    <w:uiPriority w:val="99"/>
    <w:semiHidden/>
    <w:unhideWhenUsed/>
    <w:pPr>
      <w:spacing w:line="240" w:lineRule="auto"/>
      <w:ind w:left="4320"/>
    </w:pPr>
  </w:style>
  <w:style w:type="character" w:customStyle="1" w:styleId="ClosingChar">
    <w:name w:val="Closing Char"/>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pPr>
    <w:rPr>
      <w:sz w:val="22"/>
      <w:szCs w:val="20"/>
    </w:rPr>
  </w:style>
  <w:style w:type="character" w:customStyle="1" w:styleId="CommentTextChar">
    <w:name w:val="Comment Text Char"/>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kern w:val="24"/>
      <w:sz w:val="20"/>
      <w:szCs w:val="20"/>
    </w:rPr>
  </w:style>
  <w:style w:type="paragraph" w:styleId="Date">
    <w:name w:val="Date"/>
    <w:basedOn w:val="Normal"/>
    <w:next w:val="Normal"/>
    <w:link w:val="DateChar"/>
    <w:uiPriority w:val="99"/>
    <w:semiHidden/>
    <w:unhideWhenUsed/>
  </w:style>
  <w:style w:type="character" w:customStyle="1" w:styleId="DateChar">
    <w:name w:val="Date Char"/>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link w:val="E-mailSignature"/>
    <w:uiPriority w:val="99"/>
    <w:semiHidden/>
    <w:rPr>
      <w:kern w:val="24"/>
    </w:rPr>
  </w:style>
  <w:style w:type="paragraph" w:styleId="FootnoteText">
    <w:name w:val="footnote text"/>
    <w:basedOn w:val="Normal"/>
    <w:link w:val="FootnoteTextChar"/>
    <w:uiPriority w:val="99"/>
    <w:unhideWhenUsed/>
    <w:rsid w:val="00E61682"/>
    <w:pPr>
      <w:spacing w:line="240" w:lineRule="auto"/>
    </w:pPr>
    <w:rPr>
      <w:i/>
      <w:szCs w:val="20"/>
    </w:rPr>
  </w:style>
  <w:style w:type="character" w:customStyle="1" w:styleId="FootnoteTextChar">
    <w:name w:val="Footnote Text Char"/>
    <w:link w:val="FootnoteText"/>
    <w:uiPriority w:val="99"/>
    <w:rsid w:val="00E61682"/>
    <w:rPr>
      <w:i/>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style>
  <w:style w:type="paragraph" w:styleId="EnvelopeReturn">
    <w:name w:val="envelope return"/>
    <w:basedOn w:val="Normal"/>
    <w:uiPriority w:val="99"/>
    <w:semiHidden/>
    <w:unhideWhenUsed/>
    <w:rsid w:val="00FF2002"/>
    <w:pPr>
      <w:spacing w:line="240" w:lineRule="auto"/>
    </w:pPr>
    <w:rPr>
      <w:sz w:val="22"/>
      <w:szCs w:val="20"/>
    </w:rPr>
  </w:style>
  <w:style w:type="paragraph" w:styleId="Footer">
    <w:name w:val="footer"/>
    <w:basedOn w:val="Normal"/>
    <w:link w:val="FooterChar"/>
    <w:uiPriority w:val="99"/>
    <w:unhideWhenUsed/>
    <w:rsid w:val="008002C0"/>
    <w:pPr>
      <w:spacing w:line="240" w:lineRule="auto"/>
    </w:pPr>
  </w:style>
  <w:style w:type="character" w:customStyle="1" w:styleId="FooterChar">
    <w:name w:val="Footer Char"/>
    <w:link w:val="Footer"/>
    <w:uiPriority w:val="99"/>
    <w:rsid w:val="008002C0"/>
    <w:rPr>
      <w:kern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6Char">
    <w:name w:val="Heading 6 Char"/>
    <w:link w:val="Heading6"/>
    <w:uiPriority w:val="9"/>
    <w:semiHidden/>
    <w:rsid w:val="00D51483"/>
    <w:rPr>
      <w:rFonts w:ascii="Corbel" w:eastAsia="SimSun" w:hAnsi="Corbel" w:cs="Times New Roman"/>
      <w:b/>
      <w:bCs/>
      <w:i/>
      <w:iCs/>
    </w:rPr>
  </w:style>
  <w:style w:type="character" w:customStyle="1" w:styleId="Heading7Char">
    <w:name w:val="Heading 7 Char"/>
    <w:link w:val="Heading7"/>
    <w:uiPriority w:val="9"/>
    <w:semiHidden/>
    <w:rsid w:val="00D51483"/>
    <w:rPr>
      <w:i/>
      <w:iCs/>
    </w:rPr>
  </w:style>
  <w:style w:type="character" w:customStyle="1" w:styleId="Heading8Char">
    <w:name w:val="Heading 8 Char"/>
    <w:link w:val="Heading8"/>
    <w:uiPriority w:val="9"/>
    <w:semiHidden/>
    <w:rsid w:val="00D51483"/>
    <w:rPr>
      <w:b/>
      <w:bCs/>
    </w:rPr>
  </w:style>
  <w:style w:type="character" w:customStyle="1" w:styleId="Heading9Char">
    <w:name w:val="Heading 9 Char"/>
    <w:link w:val="Heading9"/>
    <w:uiPriority w:val="9"/>
    <w:semiHidden/>
    <w:rsid w:val="00D51483"/>
    <w:rPr>
      <w:i/>
      <w:iCs/>
    </w:rPr>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pPr>
    <w:rPr>
      <w:rFonts w:ascii="Consolas" w:hAnsi="Consolas" w:cs="Consolas"/>
      <w:sz w:val="22"/>
      <w:szCs w:val="20"/>
    </w:rPr>
  </w:style>
  <w:style w:type="character" w:customStyle="1" w:styleId="HTMLPreformattedChar">
    <w:name w:val="HTML Preformatted Char"/>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pPr>
  </w:style>
  <w:style w:type="paragraph" w:styleId="Index2">
    <w:name w:val="index 2"/>
    <w:basedOn w:val="Normal"/>
    <w:next w:val="Normal"/>
    <w:autoRedefine/>
    <w:uiPriority w:val="99"/>
    <w:semiHidden/>
    <w:unhideWhenUsed/>
    <w:pPr>
      <w:spacing w:line="240" w:lineRule="auto"/>
      <w:ind w:left="480"/>
    </w:pPr>
  </w:style>
  <w:style w:type="paragraph" w:styleId="Index3">
    <w:name w:val="index 3"/>
    <w:basedOn w:val="Normal"/>
    <w:next w:val="Normal"/>
    <w:autoRedefine/>
    <w:uiPriority w:val="99"/>
    <w:semiHidden/>
    <w:unhideWhenUsed/>
    <w:pPr>
      <w:spacing w:line="240" w:lineRule="auto"/>
      <w:ind w:left="720"/>
    </w:pPr>
  </w:style>
  <w:style w:type="paragraph" w:styleId="Index4">
    <w:name w:val="index 4"/>
    <w:basedOn w:val="Normal"/>
    <w:next w:val="Normal"/>
    <w:autoRedefine/>
    <w:uiPriority w:val="99"/>
    <w:semiHidden/>
    <w:unhideWhenUsed/>
    <w:pPr>
      <w:spacing w:line="240" w:lineRule="auto"/>
      <w:ind w:left="960"/>
    </w:pPr>
  </w:style>
  <w:style w:type="paragraph" w:styleId="Index5">
    <w:name w:val="index 5"/>
    <w:basedOn w:val="Normal"/>
    <w:next w:val="Normal"/>
    <w:autoRedefine/>
    <w:uiPriority w:val="99"/>
    <w:semiHidden/>
    <w:unhideWhenUsed/>
    <w:pPr>
      <w:spacing w:line="240" w:lineRule="auto"/>
      <w:ind w:left="1200"/>
    </w:pPr>
  </w:style>
  <w:style w:type="paragraph" w:styleId="Index6">
    <w:name w:val="index 6"/>
    <w:basedOn w:val="Normal"/>
    <w:next w:val="Normal"/>
    <w:autoRedefine/>
    <w:uiPriority w:val="99"/>
    <w:semiHidden/>
    <w:unhideWhenUsed/>
    <w:pPr>
      <w:spacing w:line="240" w:lineRule="auto"/>
      <w:ind w:left="1440"/>
    </w:pPr>
  </w:style>
  <w:style w:type="paragraph" w:styleId="Index7">
    <w:name w:val="index 7"/>
    <w:basedOn w:val="Normal"/>
    <w:next w:val="Normal"/>
    <w:autoRedefine/>
    <w:uiPriority w:val="99"/>
    <w:semiHidden/>
    <w:unhideWhenUsed/>
    <w:pPr>
      <w:spacing w:line="240" w:lineRule="auto"/>
      <w:ind w:left="1680"/>
    </w:pPr>
  </w:style>
  <w:style w:type="paragraph" w:styleId="Index8">
    <w:name w:val="index 8"/>
    <w:basedOn w:val="Normal"/>
    <w:next w:val="Normal"/>
    <w:autoRedefine/>
    <w:uiPriority w:val="99"/>
    <w:semiHidden/>
    <w:unhideWhenUsed/>
    <w:pPr>
      <w:spacing w:line="240" w:lineRule="auto"/>
      <w:ind w:left="1920"/>
    </w:pPr>
  </w:style>
  <w:style w:type="paragraph" w:styleId="Index9">
    <w:name w:val="index 9"/>
    <w:basedOn w:val="Normal"/>
    <w:next w:val="Normal"/>
    <w:autoRedefine/>
    <w:uiPriority w:val="99"/>
    <w:semiHidden/>
    <w:unhideWhenUsed/>
    <w:pPr>
      <w:spacing w:line="240" w:lineRule="auto"/>
      <w:ind w:left="2160"/>
    </w:pPr>
  </w:style>
  <w:style w:type="paragraph" w:styleId="IndexHeading">
    <w:name w:val="index heading"/>
    <w:basedOn w:val="Normal"/>
    <w:next w:val="Index1"/>
    <w:uiPriority w:val="99"/>
    <w:semiHidden/>
    <w:unhideWhenUsed/>
    <w:rPr>
      <w:b/>
      <w:bCs/>
    </w:rPr>
  </w:style>
  <w:style w:type="paragraph" w:styleId="IntenseQuote">
    <w:name w:val="Intense Quote"/>
    <w:basedOn w:val="Normal"/>
    <w:next w:val="Normal"/>
    <w:link w:val="IntenseQuoteChar"/>
    <w:uiPriority w:val="30"/>
    <w:qFormat/>
    <w:rsid w:val="00D51483"/>
    <w:pPr>
      <w:spacing w:before="100" w:beforeAutospacing="1" w:after="240"/>
      <w:ind w:left="936" w:right="936"/>
      <w:jc w:val="center"/>
    </w:pPr>
    <w:rPr>
      <w:sz w:val="26"/>
      <w:szCs w:val="26"/>
    </w:rPr>
  </w:style>
  <w:style w:type="character" w:customStyle="1" w:styleId="IntenseQuoteChar">
    <w:name w:val="Intense Quote Char"/>
    <w:link w:val="IntenseQuote"/>
    <w:uiPriority w:val="30"/>
    <w:rsid w:val="00D51483"/>
    <w:rPr>
      <w:rFonts w:ascii="Corbel" w:eastAsia="SimSun" w:hAnsi="Corbel" w:cs="Times New Roman"/>
      <w:sz w:val="26"/>
      <w:szCs w:val="26"/>
    </w:rPr>
  </w:style>
  <w:style w:type="paragraph" w:styleId="List">
    <w:name w:val="List"/>
    <w:basedOn w:val="Normal"/>
    <w:uiPriority w:val="99"/>
    <w:semiHidden/>
    <w:unhideWhenUsed/>
    <w:pPr>
      <w:ind w:left="360"/>
      <w:contextualSpacing/>
    </w:pPr>
  </w:style>
  <w:style w:type="paragraph" w:styleId="List2">
    <w:name w:val="List 2"/>
    <w:basedOn w:val="Normal"/>
    <w:uiPriority w:val="99"/>
    <w:semiHidden/>
    <w:unhideWhenUsed/>
    <w:pPr>
      <w:ind w:left="720"/>
      <w:contextualSpacing/>
    </w:pPr>
  </w:style>
  <w:style w:type="paragraph" w:styleId="List3">
    <w:name w:val="List 3"/>
    <w:basedOn w:val="Normal"/>
    <w:uiPriority w:val="99"/>
    <w:semiHidden/>
    <w:unhideWhenUsed/>
    <w:pPr>
      <w:ind w:left="1080"/>
      <w:contextualSpacing/>
    </w:pPr>
  </w:style>
  <w:style w:type="paragraph" w:styleId="List4">
    <w:name w:val="List 4"/>
    <w:basedOn w:val="Normal"/>
    <w:uiPriority w:val="99"/>
    <w:semiHidden/>
    <w:unhideWhenUsed/>
    <w:pPr>
      <w:ind w:left="1440"/>
      <w:contextualSpacing/>
    </w:pPr>
  </w:style>
  <w:style w:type="paragraph" w:styleId="List5">
    <w:name w:val="List 5"/>
    <w:basedOn w:val="Normal"/>
    <w:uiPriority w:val="99"/>
    <w:semiHidden/>
    <w:unhideWhenUsed/>
    <w:pPr>
      <w:ind w:left="1800"/>
      <w:contextualSpacing/>
    </w:pPr>
  </w:style>
  <w:style w:type="paragraph" w:styleId="ListBullet">
    <w:name w:val="List Bullet"/>
    <w:basedOn w:val="Normal"/>
    <w:uiPriority w:val="9"/>
    <w:unhideWhenUsed/>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
    <w:unhideWhenUsed/>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spacing w:after="160" w:line="252" w:lineRule="auto"/>
      <w:jc w:val="both"/>
    </w:pPr>
    <w:rPr>
      <w:rFonts w:ascii="Consolas" w:hAnsi="Consolas" w:cs="Consolas"/>
      <w:kern w:val="24"/>
      <w:sz w:val="22"/>
      <w:lang w:val="en-US" w:eastAsia="ja-JP"/>
    </w:rPr>
  </w:style>
  <w:style w:type="character" w:customStyle="1" w:styleId="MacroTextChar">
    <w:name w:val="Macro Text Char"/>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pPr>
  </w:style>
  <w:style w:type="character" w:customStyle="1" w:styleId="MessageHeaderChar">
    <w:name w:val="Message Header Char"/>
    <w:link w:val="MessageHeader"/>
    <w:uiPriority w:val="99"/>
    <w:semiHidden/>
    <w:rPr>
      <w:rFonts w:ascii="Corbel" w:eastAsia="SimSun" w:hAnsi="Corbel" w:cs="Times New Roman"/>
      <w:kern w:val="24"/>
      <w:shd w:val="pct20" w:color="auto" w:fill="auto"/>
    </w:rPr>
  </w:style>
  <w:style w:type="paragraph" w:styleId="NormalWeb">
    <w:name w:val="Normal (Web)"/>
    <w:basedOn w:val="Normal"/>
    <w:uiPriority w:val="99"/>
    <w:semiHidden/>
    <w:unhideWhenUsed/>
    <w:rPr>
      <w:rFonts w:ascii="Times New Roman" w:hAnsi="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pPr>
    <w:rPr>
      <w:rFonts w:ascii="Consolas" w:hAnsi="Consolas" w:cs="Consolas"/>
      <w:sz w:val="22"/>
      <w:szCs w:val="21"/>
    </w:rPr>
  </w:style>
  <w:style w:type="character" w:customStyle="1" w:styleId="PlainTextChar">
    <w:name w:val="Plain Text Char"/>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qFormat/>
    <w:rsid w:val="00FD2625"/>
    <w:pPr>
      <w:spacing w:before="200" w:line="264" w:lineRule="auto"/>
      <w:ind w:left="864" w:right="864"/>
      <w:jc w:val="left"/>
    </w:pPr>
    <w:rPr>
      <w:rFonts w:ascii="Arial" w:hAnsi="Arial"/>
      <w:iCs/>
      <w:szCs w:val="24"/>
    </w:rPr>
  </w:style>
  <w:style w:type="character" w:customStyle="1" w:styleId="QuoteChar">
    <w:name w:val="Quote Char"/>
    <w:link w:val="Quote"/>
    <w:uiPriority w:val="29"/>
    <w:rsid w:val="00FD2625"/>
    <w:rPr>
      <w:rFonts w:ascii="Arial" w:eastAsia="SimSun" w:hAnsi="Arial" w:cs="Times New Roman"/>
      <w:iCs/>
      <w:sz w:val="24"/>
      <w:szCs w:val="24"/>
    </w:rPr>
  </w:style>
  <w:style w:type="paragraph" w:styleId="Salutation">
    <w:name w:val="Salutation"/>
    <w:basedOn w:val="Normal"/>
    <w:next w:val="Normal"/>
    <w:link w:val="SalutationChar"/>
    <w:uiPriority w:val="99"/>
    <w:semiHidden/>
    <w:unhideWhenUsed/>
  </w:style>
  <w:style w:type="character" w:customStyle="1" w:styleId="SalutationChar">
    <w:name w:val="Salutation Char"/>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pPr>
  </w:style>
  <w:style w:type="character" w:customStyle="1" w:styleId="SignatureChar">
    <w:name w:val="Signature Char"/>
    <w:link w:val="Signature"/>
    <w:uiPriority w:val="99"/>
    <w:semiHidden/>
    <w:rPr>
      <w:kern w:val="24"/>
    </w:rPr>
  </w:style>
  <w:style w:type="paragraph" w:styleId="TableofAuthorities">
    <w:name w:val="table of authorities"/>
    <w:basedOn w:val="Normal"/>
    <w:next w:val="Normal"/>
    <w:uiPriority w:val="99"/>
    <w:semiHidden/>
    <w:unhideWhenUsed/>
    <w:pPr>
      <w:ind w:left="240"/>
    </w:pPr>
  </w:style>
  <w:style w:type="paragraph" w:styleId="TableofFigures">
    <w:name w:val="table of figures"/>
    <w:basedOn w:val="Normal"/>
    <w:next w:val="Normal"/>
    <w:uiPriority w:val="99"/>
    <w:unhideWhenUsed/>
    <w:pPr>
      <w:spacing w:after="0"/>
      <w:ind w:left="480" w:hanging="480"/>
      <w:jc w:val="left"/>
    </w:pPr>
    <w:rPr>
      <w:rFonts w:asciiTheme="minorHAnsi" w:hAnsiTheme="minorHAnsi"/>
      <w:b/>
      <w:bCs/>
      <w:sz w:val="20"/>
      <w:szCs w:val="20"/>
    </w:rPr>
  </w:style>
  <w:style w:type="paragraph" w:styleId="TOAHeading">
    <w:name w:val="toa heading"/>
    <w:basedOn w:val="Normal"/>
    <w:next w:val="Normal"/>
    <w:uiPriority w:val="99"/>
    <w:semiHidden/>
    <w:unhideWhenUsed/>
    <w:pPr>
      <w:spacing w:before="120"/>
    </w:pPr>
    <w:rPr>
      <w:b/>
      <w:bCs/>
    </w:rPr>
  </w:style>
  <w:style w:type="paragraph" w:styleId="TOC4">
    <w:name w:val="toc 4"/>
    <w:basedOn w:val="Normal"/>
    <w:next w:val="Normal"/>
    <w:autoRedefine/>
    <w:uiPriority w:val="39"/>
    <w:semiHidden/>
    <w:unhideWhenUsed/>
    <w:pPr>
      <w:spacing w:after="100"/>
      <w:ind w:left="720"/>
    </w:pPr>
  </w:style>
  <w:style w:type="paragraph" w:styleId="TOC5">
    <w:name w:val="toc 5"/>
    <w:basedOn w:val="Normal"/>
    <w:next w:val="Normal"/>
    <w:autoRedefine/>
    <w:uiPriority w:val="39"/>
    <w:semiHidden/>
    <w:unhideWhenUsed/>
    <w:pPr>
      <w:spacing w:after="100"/>
      <w:ind w:left="960"/>
    </w:pPr>
  </w:style>
  <w:style w:type="paragraph" w:styleId="TOC6">
    <w:name w:val="toc 6"/>
    <w:basedOn w:val="Normal"/>
    <w:next w:val="Normal"/>
    <w:autoRedefine/>
    <w:uiPriority w:val="39"/>
    <w:semiHidden/>
    <w:unhideWhenUsed/>
    <w:pPr>
      <w:spacing w:after="100"/>
      <w:ind w:left="1200"/>
    </w:pPr>
  </w:style>
  <w:style w:type="paragraph" w:styleId="TOC7">
    <w:name w:val="toc 7"/>
    <w:basedOn w:val="Normal"/>
    <w:next w:val="Normal"/>
    <w:autoRedefine/>
    <w:uiPriority w:val="39"/>
    <w:semiHidden/>
    <w:unhideWhenUsed/>
    <w:pPr>
      <w:spacing w:after="100"/>
      <w:ind w:left="1440"/>
    </w:pPr>
  </w:style>
  <w:style w:type="paragraph" w:styleId="TOC8">
    <w:name w:val="toc 8"/>
    <w:basedOn w:val="Normal"/>
    <w:next w:val="Normal"/>
    <w:autoRedefine/>
    <w:uiPriority w:val="39"/>
    <w:semiHidden/>
    <w:unhideWhenUsed/>
    <w:pPr>
      <w:spacing w:after="100"/>
      <w:ind w:left="1680"/>
    </w:pPr>
  </w:style>
  <w:style w:type="paragraph" w:styleId="TOC9">
    <w:name w:val="toc 9"/>
    <w:basedOn w:val="Normal"/>
    <w:next w:val="Normal"/>
    <w:autoRedefine/>
    <w:uiPriority w:val="39"/>
    <w:semiHidden/>
    <w:unhideWhenUsed/>
    <w:pPr>
      <w:spacing w:after="100"/>
      <w:ind w:left="1920"/>
    </w:pPr>
  </w:style>
  <w:style w:type="character" w:styleId="EndnoteReference">
    <w:name w:val="endnote reference"/>
    <w:uiPriority w:val="99"/>
    <w:unhideWhenUsed/>
    <w:rPr>
      <w:vertAlign w:val="superscript"/>
    </w:rPr>
  </w:style>
  <w:style w:type="character" w:styleId="FootnoteReference">
    <w:name w:val="footnote reference"/>
    <w:uiPriority w:val="5"/>
    <w:unhideWhenUsed/>
    <w:rPr>
      <w:vertAlign w:val="superscript"/>
    </w:rPr>
  </w:style>
  <w:style w:type="table" w:customStyle="1" w:styleId="APAReport">
    <w:name w:val="APA Report"/>
    <w:basedOn w:val="TableNormal"/>
    <w:uiPriority w:val="99"/>
    <w:rsid w:val="00BF4184"/>
    <w:tblPr>
      <w:tblBorders>
        <w:top w:val="single" w:sz="12" w:space="0" w:color="auto"/>
        <w:bottom w:val="single" w:sz="12" w:space="0" w:color="auto"/>
      </w:tblBorders>
    </w:tblPr>
    <w:tblStylePr w:type="firstRow">
      <w:rPr>
        <w:rFonts w:ascii="Corbel" w:hAnsi="Corbel"/>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pPr>
      <w:spacing w:before="240"/>
      <w:contextualSpacing/>
    </w:pPr>
  </w:style>
  <w:style w:type="table" w:styleId="PlainTable1">
    <w:name w:val="Plain Table 1"/>
    <w:basedOn w:val="TableNormal"/>
    <w:uiPriority w:val="41"/>
    <w:rsid w:val="00E6004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semiHidden/>
    <w:unhideWhenUsed/>
    <w:rsid w:val="00FF2002"/>
    <w:rPr>
      <w:sz w:val="22"/>
      <w:szCs w:val="16"/>
    </w:rPr>
  </w:style>
  <w:style w:type="paragraph" w:styleId="EndnoteText">
    <w:name w:val="endnote text"/>
    <w:basedOn w:val="Normal"/>
    <w:link w:val="EndnoteTextChar"/>
    <w:uiPriority w:val="99"/>
    <w:semiHidden/>
    <w:unhideWhenUsed/>
    <w:rsid w:val="00FF2002"/>
    <w:pPr>
      <w:spacing w:line="240" w:lineRule="auto"/>
    </w:pPr>
    <w:rPr>
      <w:sz w:val="22"/>
      <w:szCs w:val="20"/>
    </w:rPr>
  </w:style>
  <w:style w:type="character" w:customStyle="1" w:styleId="EndnoteTextChar">
    <w:name w:val="Endnote Text Char"/>
    <w:link w:val="EndnoteText"/>
    <w:uiPriority w:val="99"/>
    <w:semiHidden/>
    <w:rsid w:val="00FF2002"/>
    <w:rPr>
      <w:kern w:val="24"/>
      <w:sz w:val="22"/>
      <w:szCs w:val="20"/>
    </w:rPr>
  </w:style>
  <w:style w:type="character" w:styleId="HTMLCode">
    <w:name w:val="HTML Code"/>
    <w:uiPriority w:val="99"/>
    <w:semiHidden/>
    <w:unhideWhenUsed/>
    <w:rsid w:val="00FF2002"/>
    <w:rPr>
      <w:rFonts w:ascii="Consolas" w:hAnsi="Consolas"/>
      <w:sz w:val="22"/>
      <w:szCs w:val="20"/>
    </w:rPr>
  </w:style>
  <w:style w:type="character" w:styleId="HTMLKeyboard">
    <w:name w:val="HTML Keyboard"/>
    <w:uiPriority w:val="99"/>
    <w:semiHidden/>
    <w:unhideWhenUsed/>
    <w:rsid w:val="00FF2002"/>
    <w:rPr>
      <w:rFonts w:ascii="Consolas" w:hAnsi="Consolas"/>
      <w:sz w:val="22"/>
      <w:szCs w:val="20"/>
    </w:rPr>
  </w:style>
  <w:style w:type="character" w:styleId="HTMLTypewriter">
    <w:name w:val="HTML Typewriter"/>
    <w:uiPriority w:val="99"/>
    <w:semiHidden/>
    <w:unhideWhenUsed/>
    <w:rsid w:val="00FF2002"/>
    <w:rPr>
      <w:rFonts w:ascii="Consolas" w:hAnsi="Consolas"/>
      <w:sz w:val="22"/>
      <w:szCs w:val="20"/>
    </w:rPr>
  </w:style>
  <w:style w:type="character" w:styleId="IntenseEmphasis">
    <w:name w:val="Intense Emphasis"/>
    <w:uiPriority w:val="21"/>
    <w:qFormat/>
    <w:rsid w:val="00D51483"/>
    <w:rPr>
      <w:b/>
      <w:bCs/>
      <w:i/>
      <w:iCs/>
      <w:color w:val="auto"/>
    </w:rPr>
  </w:style>
  <w:style w:type="character" w:styleId="IntenseReference">
    <w:name w:val="Intense Reference"/>
    <w:uiPriority w:val="32"/>
    <w:qFormat/>
    <w:rsid w:val="00D51483"/>
    <w:rPr>
      <w:b/>
      <w:bCs/>
      <w:smallCaps/>
      <w:color w:val="auto"/>
      <w:u w:val="single"/>
    </w:rPr>
  </w:style>
  <w:style w:type="paragraph" w:styleId="TOCHeading">
    <w:name w:val="TOC Heading"/>
    <w:basedOn w:val="Heading1"/>
    <w:next w:val="Normal"/>
    <w:uiPriority w:val="39"/>
    <w:unhideWhenUsed/>
    <w:qFormat/>
    <w:rsid w:val="00D51483"/>
    <w:pPr>
      <w:outlineLvl w:val="9"/>
    </w:pPr>
  </w:style>
  <w:style w:type="character" w:styleId="FollowedHyperlink">
    <w:name w:val="FollowedHyperlink"/>
    <w:uiPriority w:val="99"/>
    <w:semiHidden/>
    <w:unhideWhenUsed/>
    <w:rsid w:val="009A6A3B"/>
    <w:rPr>
      <w:color w:val="757575"/>
      <w:u w:val="single"/>
    </w:rPr>
  </w:style>
  <w:style w:type="paragraph" w:customStyle="1" w:styleId="Title2">
    <w:name w:val="Title 2"/>
    <w:basedOn w:val="Normal"/>
    <w:uiPriority w:val="1"/>
    <w:rsid w:val="00B823AA"/>
    <w:pPr>
      <w:jc w:val="center"/>
    </w:pPr>
  </w:style>
  <w:style w:type="paragraph" w:styleId="Subtitle">
    <w:name w:val="Subtitle"/>
    <w:basedOn w:val="Normal"/>
    <w:next w:val="Normal"/>
    <w:link w:val="SubtitleChar"/>
    <w:uiPriority w:val="11"/>
    <w:qFormat/>
    <w:rsid w:val="00D51483"/>
    <w:pPr>
      <w:numPr>
        <w:ilvl w:val="1"/>
      </w:numPr>
      <w:spacing w:after="240"/>
      <w:jc w:val="center"/>
    </w:pPr>
    <w:rPr>
      <w:szCs w:val="24"/>
    </w:rPr>
  </w:style>
  <w:style w:type="character" w:customStyle="1" w:styleId="SubtitleChar">
    <w:name w:val="Subtitle Char"/>
    <w:link w:val="Subtitle"/>
    <w:uiPriority w:val="11"/>
    <w:rsid w:val="00D51483"/>
    <w:rPr>
      <w:rFonts w:ascii="Corbel" w:eastAsia="SimSun" w:hAnsi="Corbel" w:cs="Times New Roman"/>
      <w:sz w:val="24"/>
      <w:szCs w:val="24"/>
    </w:rPr>
  </w:style>
  <w:style w:type="character" w:styleId="SubtleEmphasis">
    <w:name w:val="Subtle Emphasis"/>
    <w:uiPriority w:val="19"/>
    <w:qFormat/>
    <w:rsid w:val="00D51483"/>
    <w:rPr>
      <w:i/>
      <w:iCs/>
      <w:color w:val="auto"/>
    </w:rPr>
  </w:style>
  <w:style w:type="character" w:styleId="SubtleReference">
    <w:name w:val="Subtle Reference"/>
    <w:uiPriority w:val="31"/>
    <w:qFormat/>
    <w:rsid w:val="00D51483"/>
    <w:rPr>
      <w:smallCaps/>
      <w:color w:val="auto"/>
      <w:u w:val="single" w:color="959595"/>
    </w:rPr>
  </w:style>
  <w:style w:type="character" w:styleId="BookTitle">
    <w:name w:val="Book Title"/>
    <w:uiPriority w:val="33"/>
    <w:qFormat/>
    <w:rsid w:val="00D51483"/>
    <w:rPr>
      <w:b/>
      <w:bCs/>
      <w:smallCaps/>
      <w:color w:val="auto"/>
    </w:rPr>
  </w:style>
  <w:style w:type="character" w:styleId="Hyperlink">
    <w:name w:val="Hyperlink"/>
    <w:uiPriority w:val="99"/>
    <w:unhideWhenUsed/>
    <w:qFormat/>
    <w:rsid w:val="00851012"/>
    <w:rPr>
      <w:color w:val="2C2C2C" w:themeColor="text1"/>
      <w:u w:val="single"/>
    </w:rPr>
  </w:style>
  <w:style w:type="character" w:styleId="UnresolvedMention">
    <w:name w:val="Unresolved Mention"/>
    <w:uiPriority w:val="99"/>
    <w:semiHidden/>
    <w:unhideWhenUsed/>
    <w:rsid w:val="00D51483"/>
    <w:rPr>
      <w:color w:val="808080"/>
      <w:shd w:val="clear" w:color="auto" w:fill="E6E6E6"/>
    </w:rPr>
  </w:style>
  <w:style w:type="table" w:styleId="ListTable6Colorful-Accent2">
    <w:name w:val="List Table 6 Colorful Accent 2"/>
    <w:basedOn w:val="TableNormal"/>
    <w:uiPriority w:val="51"/>
    <w:rsid w:val="00204990"/>
    <w:rPr>
      <w:color w:val="7B9B1E" w:themeColor="accent2" w:themeShade="BF"/>
    </w:rPr>
    <w:tblPr>
      <w:tblStyleRowBandSize w:val="1"/>
      <w:tblStyleColBandSize w:val="1"/>
      <w:tblBorders>
        <w:top w:val="single" w:sz="4" w:space="0" w:color="A5D028" w:themeColor="accent2"/>
        <w:bottom w:val="single" w:sz="4" w:space="0" w:color="A5D028" w:themeColor="accent2"/>
      </w:tblBorders>
    </w:tblPr>
    <w:tblStylePr w:type="firstRow">
      <w:rPr>
        <w:b/>
        <w:bCs/>
      </w:rPr>
      <w:tblPr/>
      <w:tcPr>
        <w:tcBorders>
          <w:bottom w:val="single" w:sz="4" w:space="0" w:color="A5D028" w:themeColor="accent2"/>
        </w:tcBorders>
      </w:tcPr>
    </w:tblStylePr>
    <w:tblStylePr w:type="lastRow">
      <w:rPr>
        <w:b/>
        <w:bCs/>
      </w:rPr>
      <w:tblPr/>
      <w:tcPr>
        <w:tcBorders>
          <w:top w:val="double" w:sz="4" w:space="0" w:color="A5D028" w:themeColor="accent2"/>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paragraph" w:styleId="TOC1">
    <w:name w:val="toc 1"/>
    <w:basedOn w:val="Normal"/>
    <w:next w:val="Normal"/>
    <w:autoRedefine/>
    <w:uiPriority w:val="39"/>
    <w:unhideWhenUsed/>
    <w:rsid w:val="0008418C"/>
    <w:pPr>
      <w:tabs>
        <w:tab w:val="left" w:pos="480"/>
        <w:tab w:val="right" w:leader="dot" w:pos="9350"/>
      </w:tabs>
      <w:spacing w:after="100" w:line="240" w:lineRule="auto"/>
    </w:pPr>
  </w:style>
  <w:style w:type="paragraph" w:styleId="TOC2">
    <w:name w:val="toc 2"/>
    <w:basedOn w:val="Normal"/>
    <w:next w:val="Normal"/>
    <w:autoRedefine/>
    <w:uiPriority w:val="39"/>
    <w:unhideWhenUsed/>
    <w:rsid w:val="00AD1BAD"/>
    <w:pPr>
      <w:spacing w:after="100"/>
      <w:ind w:left="240"/>
    </w:pPr>
  </w:style>
  <w:style w:type="paragraph" w:styleId="TOC3">
    <w:name w:val="toc 3"/>
    <w:basedOn w:val="Normal"/>
    <w:next w:val="Normal"/>
    <w:autoRedefine/>
    <w:uiPriority w:val="39"/>
    <w:unhideWhenUsed/>
    <w:rsid w:val="00AD1BAD"/>
    <w:pPr>
      <w:spacing w:after="100"/>
      <w:ind w:left="480"/>
    </w:pPr>
  </w:style>
  <w:style w:type="table" w:styleId="ListTable6Colorful">
    <w:name w:val="List Table 6 Colorful"/>
    <w:basedOn w:val="TableNormal"/>
    <w:uiPriority w:val="51"/>
    <w:rsid w:val="004B44D4"/>
    <w:rPr>
      <w:color w:val="2C2C2C" w:themeColor="text1"/>
    </w:rPr>
    <w:tblPr>
      <w:tblStyleRowBandSize w:val="1"/>
      <w:tblStyleColBandSize w:val="1"/>
      <w:tblBorders>
        <w:top w:val="single" w:sz="4" w:space="0" w:color="2C2C2C" w:themeColor="text1"/>
        <w:bottom w:val="single" w:sz="4" w:space="0" w:color="2C2C2C" w:themeColor="text1"/>
      </w:tblBorders>
    </w:tblPr>
    <w:tblStylePr w:type="firstRow">
      <w:rPr>
        <w:b/>
        <w:bCs/>
      </w:rPr>
      <w:tblPr/>
      <w:tcPr>
        <w:tcBorders>
          <w:bottom w:val="single" w:sz="4" w:space="0" w:color="2C2C2C" w:themeColor="text1"/>
        </w:tcBorders>
      </w:tcPr>
    </w:tblStylePr>
    <w:tblStylePr w:type="lastRow">
      <w:rPr>
        <w:b/>
        <w:bCs/>
      </w:rPr>
      <w:tblPr/>
      <w:tcPr>
        <w:tcBorders>
          <w:top w:val="double" w:sz="4" w:space="0" w:color="2C2C2C"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PlainTable3">
    <w:name w:val="Plain Table 3"/>
    <w:basedOn w:val="TableNormal"/>
    <w:uiPriority w:val="43"/>
    <w:rsid w:val="004B44D4"/>
    <w:tblPr>
      <w:tblStyleRowBandSize w:val="1"/>
      <w:tblStyleColBandSize w:val="1"/>
    </w:tblPr>
    <w:tblStylePr w:type="firstRow">
      <w:rPr>
        <w:b/>
        <w:bCs/>
        <w:caps/>
      </w:rPr>
      <w:tblPr/>
      <w:tcPr>
        <w:tcBorders>
          <w:bottom w:val="single" w:sz="4" w:space="0" w:color="95959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5959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477A2"/>
  </w:style>
  <w:style w:type="paragraph" w:styleId="Revision">
    <w:name w:val="Revision"/>
    <w:hidden/>
    <w:uiPriority w:val="99"/>
    <w:semiHidden/>
    <w:rsid w:val="00D60FCE"/>
    <w:rPr>
      <w:sz w:val="24"/>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95090">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1124265">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5323657">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62091295">
      <w:bodyDiv w:val="1"/>
      <w:marLeft w:val="0"/>
      <w:marRight w:val="0"/>
      <w:marTop w:val="0"/>
      <w:marBottom w:val="0"/>
      <w:divBdr>
        <w:top w:val="none" w:sz="0" w:space="0" w:color="auto"/>
        <w:left w:val="none" w:sz="0" w:space="0" w:color="auto"/>
        <w:bottom w:val="none" w:sz="0" w:space="0" w:color="auto"/>
        <w:right w:val="none" w:sz="0" w:space="0" w:color="auto"/>
      </w:divBdr>
    </w:div>
    <w:div w:id="166793764">
      <w:bodyDiv w:val="1"/>
      <w:marLeft w:val="0"/>
      <w:marRight w:val="0"/>
      <w:marTop w:val="0"/>
      <w:marBottom w:val="0"/>
      <w:divBdr>
        <w:top w:val="none" w:sz="0" w:space="0" w:color="auto"/>
        <w:left w:val="none" w:sz="0" w:space="0" w:color="auto"/>
        <w:bottom w:val="none" w:sz="0" w:space="0" w:color="auto"/>
        <w:right w:val="none" w:sz="0" w:space="0" w:color="auto"/>
      </w:divBdr>
    </w:div>
    <w:div w:id="199904252">
      <w:bodyDiv w:val="1"/>
      <w:marLeft w:val="0"/>
      <w:marRight w:val="0"/>
      <w:marTop w:val="0"/>
      <w:marBottom w:val="0"/>
      <w:divBdr>
        <w:top w:val="none" w:sz="0" w:space="0" w:color="auto"/>
        <w:left w:val="none" w:sz="0" w:space="0" w:color="auto"/>
        <w:bottom w:val="none" w:sz="0" w:space="0" w:color="auto"/>
        <w:right w:val="none" w:sz="0" w:space="0" w:color="auto"/>
      </w:divBdr>
    </w:div>
    <w:div w:id="227229676">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01346642">
      <w:bodyDiv w:val="1"/>
      <w:marLeft w:val="0"/>
      <w:marRight w:val="0"/>
      <w:marTop w:val="0"/>
      <w:marBottom w:val="0"/>
      <w:divBdr>
        <w:top w:val="none" w:sz="0" w:space="0" w:color="auto"/>
        <w:left w:val="none" w:sz="0" w:space="0" w:color="auto"/>
        <w:bottom w:val="none" w:sz="0" w:space="0" w:color="auto"/>
        <w:right w:val="none" w:sz="0" w:space="0" w:color="auto"/>
      </w:divBdr>
    </w:div>
    <w:div w:id="302079092">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17872405">
      <w:bodyDiv w:val="1"/>
      <w:marLeft w:val="0"/>
      <w:marRight w:val="0"/>
      <w:marTop w:val="0"/>
      <w:marBottom w:val="0"/>
      <w:divBdr>
        <w:top w:val="none" w:sz="0" w:space="0" w:color="auto"/>
        <w:left w:val="none" w:sz="0" w:space="0" w:color="auto"/>
        <w:bottom w:val="none" w:sz="0" w:space="0" w:color="auto"/>
        <w:right w:val="none" w:sz="0" w:space="0" w:color="auto"/>
      </w:divBdr>
    </w:div>
    <w:div w:id="436296827">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99808108">
      <w:bodyDiv w:val="1"/>
      <w:marLeft w:val="0"/>
      <w:marRight w:val="0"/>
      <w:marTop w:val="0"/>
      <w:marBottom w:val="0"/>
      <w:divBdr>
        <w:top w:val="none" w:sz="0" w:space="0" w:color="auto"/>
        <w:left w:val="none" w:sz="0" w:space="0" w:color="auto"/>
        <w:bottom w:val="none" w:sz="0" w:space="0" w:color="auto"/>
        <w:right w:val="none" w:sz="0" w:space="0" w:color="auto"/>
      </w:divBdr>
    </w:div>
    <w:div w:id="538207495">
      <w:bodyDiv w:val="1"/>
      <w:marLeft w:val="0"/>
      <w:marRight w:val="0"/>
      <w:marTop w:val="0"/>
      <w:marBottom w:val="0"/>
      <w:divBdr>
        <w:top w:val="none" w:sz="0" w:space="0" w:color="auto"/>
        <w:left w:val="none" w:sz="0" w:space="0" w:color="auto"/>
        <w:bottom w:val="none" w:sz="0" w:space="0" w:color="auto"/>
        <w:right w:val="none" w:sz="0" w:space="0" w:color="auto"/>
      </w:divBdr>
    </w:div>
    <w:div w:id="597835333">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2006741">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08071831">
      <w:bodyDiv w:val="1"/>
      <w:marLeft w:val="0"/>
      <w:marRight w:val="0"/>
      <w:marTop w:val="0"/>
      <w:marBottom w:val="0"/>
      <w:divBdr>
        <w:top w:val="none" w:sz="0" w:space="0" w:color="auto"/>
        <w:left w:val="none" w:sz="0" w:space="0" w:color="auto"/>
        <w:bottom w:val="none" w:sz="0" w:space="0" w:color="auto"/>
        <w:right w:val="none" w:sz="0" w:space="0" w:color="auto"/>
      </w:divBdr>
    </w:div>
    <w:div w:id="742485295">
      <w:bodyDiv w:val="1"/>
      <w:marLeft w:val="0"/>
      <w:marRight w:val="0"/>
      <w:marTop w:val="0"/>
      <w:marBottom w:val="0"/>
      <w:divBdr>
        <w:top w:val="none" w:sz="0" w:space="0" w:color="auto"/>
        <w:left w:val="none" w:sz="0" w:space="0" w:color="auto"/>
        <w:bottom w:val="none" w:sz="0" w:space="0" w:color="auto"/>
        <w:right w:val="none" w:sz="0" w:space="0" w:color="auto"/>
      </w:divBdr>
    </w:div>
    <w:div w:id="769620428">
      <w:bodyDiv w:val="1"/>
      <w:marLeft w:val="0"/>
      <w:marRight w:val="0"/>
      <w:marTop w:val="0"/>
      <w:marBottom w:val="0"/>
      <w:divBdr>
        <w:top w:val="none" w:sz="0" w:space="0" w:color="auto"/>
        <w:left w:val="none" w:sz="0" w:space="0" w:color="auto"/>
        <w:bottom w:val="none" w:sz="0" w:space="0" w:color="auto"/>
        <w:right w:val="none" w:sz="0" w:space="0" w:color="auto"/>
      </w:divBdr>
    </w:div>
    <w:div w:id="793598356">
      <w:bodyDiv w:val="1"/>
      <w:marLeft w:val="0"/>
      <w:marRight w:val="0"/>
      <w:marTop w:val="0"/>
      <w:marBottom w:val="0"/>
      <w:divBdr>
        <w:top w:val="none" w:sz="0" w:space="0" w:color="auto"/>
        <w:left w:val="none" w:sz="0" w:space="0" w:color="auto"/>
        <w:bottom w:val="none" w:sz="0" w:space="0" w:color="auto"/>
        <w:right w:val="none" w:sz="0" w:space="0" w:color="auto"/>
      </w:divBdr>
    </w:div>
    <w:div w:id="874854933">
      <w:bodyDiv w:val="1"/>
      <w:marLeft w:val="0"/>
      <w:marRight w:val="0"/>
      <w:marTop w:val="0"/>
      <w:marBottom w:val="0"/>
      <w:divBdr>
        <w:top w:val="none" w:sz="0" w:space="0" w:color="auto"/>
        <w:left w:val="none" w:sz="0" w:space="0" w:color="auto"/>
        <w:bottom w:val="none" w:sz="0" w:space="0" w:color="auto"/>
        <w:right w:val="none" w:sz="0" w:space="0" w:color="auto"/>
      </w:divBdr>
    </w:div>
    <w:div w:id="888303287">
      <w:bodyDiv w:val="1"/>
      <w:marLeft w:val="0"/>
      <w:marRight w:val="0"/>
      <w:marTop w:val="0"/>
      <w:marBottom w:val="0"/>
      <w:divBdr>
        <w:top w:val="none" w:sz="0" w:space="0" w:color="auto"/>
        <w:left w:val="none" w:sz="0" w:space="0" w:color="auto"/>
        <w:bottom w:val="none" w:sz="0" w:space="0" w:color="auto"/>
        <w:right w:val="none" w:sz="0" w:space="0" w:color="auto"/>
      </w:divBdr>
    </w:div>
    <w:div w:id="903686572">
      <w:bodyDiv w:val="1"/>
      <w:marLeft w:val="0"/>
      <w:marRight w:val="0"/>
      <w:marTop w:val="0"/>
      <w:marBottom w:val="0"/>
      <w:divBdr>
        <w:top w:val="none" w:sz="0" w:space="0" w:color="auto"/>
        <w:left w:val="none" w:sz="0" w:space="0" w:color="auto"/>
        <w:bottom w:val="none" w:sz="0" w:space="0" w:color="auto"/>
        <w:right w:val="none" w:sz="0" w:space="0" w:color="auto"/>
      </w:divBdr>
    </w:div>
    <w:div w:id="912200934">
      <w:bodyDiv w:val="1"/>
      <w:marLeft w:val="0"/>
      <w:marRight w:val="0"/>
      <w:marTop w:val="0"/>
      <w:marBottom w:val="0"/>
      <w:divBdr>
        <w:top w:val="none" w:sz="0" w:space="0" w:color="auto"/>
        <w:left w:val="none" w:sz="0" w:space="0" w:color="auto"/>
        <w:bottom w:val="none" w:sz="0" w:space="0" w:color="auto"/>
        <w:right w:val="none" w:sz="0" w:space="0" w:color="auto"/>
      </w:divBdr>
    </w:div>
    <w:div w:id="958024836">
      <w:bodyDiv w:val="1"/>
      <w:marLeft w:val="0"/>
      <w:marRight w:val="0"/>
      <w:marTop w:val="0"/>
      <w:marBottom w:val="0"/>
      <w:divBdr>
        <w:top w:val="none" w:sz="0" w:space="0" w:color="auto"/>
        <w:left w:val="none" w:sz="0" w:space="0" w:color="auto"/>
        <w:bottom w:val="none" w:sz="0" w:space="0" w:color="auto"/>
        <w:right w:val="none" w:sz="0" w:space="0" w:color="auto"/>
      </w:divBdr>
    </w:div>
    <w:div w:id="1005088652">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71392016">
      <w:bodyDiv w:val="1"/>
      <w:marLeft w:val="0"/>
      <w:marRight w:val="0"/>
      <w:marTop w:val="0"/>
      <w:marBottom w:val="0"/>
      <w:divBdr>
        <w:top w:val="none" w:sz="0" w:space="0" w:color="auto"/>
        <w:left w:val="none" w:sz="0" w:space="0" w:color="auto"/>
        <w:bottom w:val="none" w:sz="0" w:space="0" w:color="auto"/>
        <w:right w:val="none" w:sz="0" w:space="0" w:color="auto"/>
      </w:divBdr>
    </w:div>
    <w:div w:id="1141582879">
      <w:bodyDiv w:val="1"/>
      <w:marLeft w:val="0"/>
      <w:marRight w:val="0"/>
      <w:marTop w:val="0"/>
      <w:marBottom w:val="0"/>
      <w:divBdr>
        <w:top w:val="none" w:sz="0" w:space="0" w:color="auto"/>
        <w:left w:val="none" w:sz="0" w:space="0" w:color="auto"/>
        <w:bottom w:val="none" w:sz="0" w:space="0" w:color="auto"/>
        <w:right w:val="none" w:sz="0" w:space="0" w:color="auto"/>
      </w:divBdr>
    </w:div>
    <w:div w:id="1161657386">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4199806">
      <w:bodyDiv w:val="1"/>
      <w:marLeft w:val="0"/>
      <w:marRight w:val="0"/>
      <w:marTop w:val="0"/>
      <w:marBottom w:val="0"/>
      <w:divBdr>
        <w:top w:val="none" w:sz="0" w:space="0" w:color="auto"/>
        <w:left w:val="none" w:sz="0" w:space="0" w:color="auto"/>
        <w:bottom w:val="none" w:sz="0" w:space="0" w:color="auto"/>
        <w:right w:val="none" w:sz="0" w:space="0" w:color="auto"/>
      </w:divBdr>
    </w:div>
    <w:div w:id="1202865783">
      <w:bodyDiv w:val="1"/>
      <w:marLeft w:val="0"/>
      <w:marRight w:val="0"/>
      <w:marTop w:val="0"/>
      <w:marBottom w:val="0"/>
      <w:divBdr>
        <w:top w:val="none" w:sz="0" w:space="0" w:color="auto"/>
        <w:left w:val="none" w:sz="0" w:space="0" w:color="auto"/>
        <w:bottom w:val="none" w:sz="0" w:space="0" w:color="auto"/>
        <w:right w:val="none" w:sz="0" w:space="0" w:color="auto"/>
      </w:divBdr>
    </w:div>
    <w:div w:id="1248074574">
      <w:bodyDiv w:val="1"/>
      <w:marLeft w:val="0"/>
      <w:marRight w:val="0"/>
      <w:marTop w:val="0"/>
      <w:marBottom w:val="0"/>
      <w:divBdr>
        <w:top w:val="none" w:sz="0" w:space="0" w:color="auto"/>
        <w:left w:val="none" w:sz="0" w:space="0" w:color="auto"/>
        <w:bottom w:val="none" w:sz="0" w:space="0" w:color="auto"/>
        <w:right w:val="none" w:sz="0" w:space="0" w:color="auto"/>
      </w:divBdr>
    </w:div>
    <w:div w:id="1265571889">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2807722">
      <w:bodyDiv w:val="1"/>
      <w:marLeft w:val="0"/>
      <w:marRight w:val="0"/>
      <w:marTop w:val="0"/>
      <w:marBottom w:val="0"/>
      <w:divBdr>
        <w:top w:val="none" w:sz="0" w:space="0" w:color="auto"/>
        <w:left w:val="none" w:sz="0" w:space="0" w:color="auto"/>
        <w:bottom w:val="none" w:sz="0" w:space="0" w:color="auto"/>
        <w:right w:val="none" w:sz="0" w:space="0" w:color="auto"/>
      </w:divBdr>
    </w:div>
    <w:div w:id="1287003052">
      <w:bodyDiv w:val="1"/>
      <w:marLeft w:val="0"/>
      <w:marRight w:val="0"/>
      <w:marTop w:val="0"/>
      <w:marBottom w:val="0"/>
      <w:divBdr>
        <w:top w:val="none" w:sz="0" w:space="0" w:color="auto"/>
        <w:left w:val="none" w:sz="0" w:space="0" w:color="auto"/>
        <w:bottom w:val="none" w:sz="0" w:space="0" w:color="auto"/>
        <w:right w:val="none" w:sz="0" w:space="0" w:color="auto"/>
      </w:divBdr>
    </w:div>
    <w:div w:id="1345746141">
      <w:bodyDiv w:val="1"/>
      <w:marLeft w:val="0"/>
      <w:marRight w:val="0"/>
      <w:marTop w:val="0"/>
      <w:marBottom w:val="0"/>
      <w:divBdr>
        <w:top w:val="none" w:sz="0" w:space="0" w:color="auto"/>
        <w:left w:val="none" w:sz="0" w:space="0" w:color="auto"/>
        <w:bottom w:val="none" w:sz="0" w:space="0" w:color="auto"/>
        <w:right w:val="none" w:sz="0" w:space="0" w:color="auto"/>
      </w:divBdr>
    </w:div>
    <w:div w:id="1350450120">
      <w:bodyDiv w:val="1"/>
      <w:marLeft w:val="0"/>
      <w:marRight w:val="0"/>
      <w:marTop w:val="0"/>
      <w:marBottom w:val="0"/>
      <w:divBdr>
        <w:top w:val="none" w:sz="0" w:space="0" w:color="auto"/>
        <w:left w:val="none" w:sz="0" w:space="0" w:color="auto"/>
        <w:bottom w:val="none" w:sz="0" w:space="0" w:color="auto"/>
        <w:right w:val="none" w:sz="0" w:space="0" w:color="auto"/>
      </w:divBdr>
    </w:div>
    <w:div w:id="1351253022">
      <w:bodyDiv w:val="1"/>
      <w:marLeft w:val="0"/>
      <w:marRight w:val="0"/>
      <w:marTop w:val="0"/>
      <w:marBottom w:val="0"/>
      <w:divBdr>
        <w:top w:val="none" w:sz="0" w:space="0" w:color="auto"/>
        <w:left w:val="none" w:sz="0" w:space="0" w:color="auto"/>
        <w:bottom w:val="none" w:sz="0" w:space="0" w:color="auto"/>
        <w:right w:val="none" w:sz="0" w:space="0" w:color="auto"/>
      </w:divBdr>
    </w:div>
    <w:div w:id="1353414567">
      <w:bodyDiv w:val="1"/>
      <w:marLeft w:val="0"/>
      <w:marRight w:val="0"/>
      <w:marTop w:val="0"/>
      <w:marBottom w:val="0"/>
      <w:divBdr>
        <w:top w:val="none" w:sz="0" w:space="0" w:color="auto"/>
        <w:left w:val="none" w:sz="0" w:space="0" w:color="auto"/>
        <w:bottom w:val="none" w:sz="0" w:space="0" w:color="auto"/>
        <w:right w:val="none" w:sz="0" w:space="0" w:color="auto"/>
      </w:divBdr>
    </w:div>
    <w:div w:id="1396244582">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41798203">
      <w:bodyDiv w:val="1"/>
      <w:marLeft w:val="0"/>
      <w:marRight w:val="0"/>
      <w:marTop w:val="0"/>
      <w:marBottom w:val="0"/>
      <w:divBdr>
        <w:top w:val="none" w:sz="0" w:space="0" w:color="auto"/>
        <w:left w:val="none" w:sz="0" w:space="0" w:color="auto"/>
        <w:bottom w:val="none" w:sz="0" w:space="0" w:color="auto"/>
        <w:right w:val="none" w:sz="0" w:space="0" w:color="auto"/>
      </w:divBdr>
    </w:div>
    <w:div w:id="1460604957">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65723503">
      <w:bodyDiv w:val="1"/>
      <w:marLeft w:val="0"/>
      <w:marRight w:val="0"/>
      <w:marTop w:val="0"/>
      <w:marBottom w:val="0"/>
      <w:divBdr>
        <w:top w:val="none" w:sz="0" w:space="0" w:color="auto"/>
        <w:left w:val="none" w:sz="0" w:space="0" w:color="auto"/>
        <w:bottom w:val="none" w:sz="0" w:space="0" w:color="auto"/>
        <w:right w:val="none" w:sz="0" w:space="0" w:color="auto"/>
      </w:divBdr>
    </w:div>
    <w:div w:id="1650132321">
      <w:bodyDiv w:val="1"/>
      <w:marLeft w:val="0"/>
      <w:marRight w:val="0"/>
      <w:marTop w:val="0"/>
      <w:marBottom w:val="0"/>
      <w:divBdr>
        <w:top w:val="none" w:sz="0" w:space="0" w:color="auto"/>
        <w:left w:val="none" w:sz="0" w:space="0" w:color="auto"/>
        <w:bottom w:val="none" w:sz="0" w:space="0" w:color="auto"/>
        <w:right w:val="none" w:sz="0" w:space="0" w:color="auto"/>
      </w:divBdr>
    </w:div>
    <w:div w:id="1653826702">
      <w:bodyDiv w:val="1"/>
      <w:marLeft w:val="0"/>
      <w:marRight w:val="0"/>
      <w:marTop w:val="0"/>
      <w:marBottom w:val="0"/>
      <w:divBdr>
        <w:top w:val="none" w:sz="0" w:space="0" w:color="auto"/>
        <w:left w:val="none" w:sz="0" w:space="0" w:color="auto"/>
        <w:bottom w:val="none" w:sz="0" w:space="0" w:color="auto"/>
        <w:right w:val="none" w:sz="0" w:space="0" w:color="auto"/>
      </w:divBdr>
    </w:div>
    <w:div w:id="1668678316">
      <w:bodyDiv w:val="1"/>
      <w:marLeft w:val="0"/>
      <w:marRight w:val="0"/>
      <w:marTop w:val="0"/>
      <w:marBottom w:val="0"/>
      <w:divBdr>
        <w:top w:val="none" w:sz="0" w:space="0" w:color="auto"/>
        <w:left w:val="none" w:sz="0" w:space="0" w:color="auto"/>
        <w:bottom w:val="none" w:sz="0" w:space="0" w:color="auto"/>
        <w:right w:val="none" w:sz="0" w:space="0" w:color="auto"/>
      </w:divBdr>
    </w:div>
    <w:div w:id="1669795690">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39477014">
      <w:bodyDiv w:val="1"/>
      <w:marLeft w:val="0"/>
      <w:marRight w:val="0"/>
      <w:marTop w:val="0"/>
      <w:marBottom w:val="0"/>
      <w:divBdr>
        <w:top w:val="none" w:sz="0" w:space="0" w:color="auto"/>
        <w:left w:val="none" w:sz="0" w:space="0" w:color="auto"/>
        <w:bottom w:val="none" w:sz="0" w:space="0" w:color="auto"/>
        <w:right w:val="none" w:sz="0" w:space="0" w:color="auto"/>
      </w:divBdr>
    </w:div>
    <w:div w:id="1744134093">
      <w:bodyDiv w:val="1"/>
      <w:marLeft w:val="0"/>
      <w:marRight w:val="0"/>
      <w:marTop w:val="0"/>
      <w:marBottom w:val="0"/>
      <w:divBdr>
        <w:top w:val="none" w:sz="0" w:space="0" w:color="auto"/>
        <w:left w:val="none" w:sz="0" w:space="0" w:color="auto"/>
        <w:bottom w:val="none" w:sz="0" w:space="0" w:color="auto"/>
        <w:right w:val="none" w:sz="0" w:space="0" w:color="auto"/>
      </w:divBdr>
    </w:div>
    <w:div w:id="175185482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94323310">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31604295">
      <w:bodyDiv w:val="1"/>
      <w:marLeft w:val="0"/>
      <w:marRight w:val="0"/>
      <w:marTop w:val="0"/>
      <w:marBottom w:val="0"/>
      <w:divBdr>
        <w:top w:val="none" w:sz="0" w:space="0" w:color="auto"/>
        <w:left w:val="none" w:sz="0" w:space="0" w:color="auto"/>
        <w:bottom w:val="none" w:sz="0" w:space="0" w:color="auto"/>
        <w:right w:val="none" w:sz="0" w:space="0" w:color="auto"/>
      </w:divBdr>
    </w:div>
    <w:div w:id="1850094873">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87008298">
      <w:bodyDiv w:val="1"/>
      <w:marLeft w:val="0"/>
      <w:marRight w:val="0"/>
      <w:marTop w:val="0"/>
      <w:marBottom w:val="0"/>
      <w:divBdr>
        <w:top w:val="none" w:sz="0" w:space="0" w:color="auto"/>
        <w:left w:val="none" w:sz="0" w:space="0" w:color="auto"/>
        <w:bottom w:val="none" w:sz="0" w:space="0" w:color="auto"/>
        <w:right w:val="none" w:sz="0" w:space="0" w:color="auto"/>
      </w:divBdr>
    </w:div>
    <w:div w:id="1991252890">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2855701">
      <w:bodyDiv w:val="1"/>
      <w:marLeft w:val="0"/>
      <w:marRight w:val="0"/>
      <w:marTop w:val="0"/>
      <w:marBottom w:val="0"/>
      <w:divBdr>
        <w:top w:val="none" w:sz="0" w:space="0" w:color="auto"/>
        <w:left w:val="none" w:sz="0" w:space="0" w:color="auto"/>
        <w:bottom w:val="none" w:sz="0" w:space="0" w:color="auto"/>
        <w:right w:val="none" w:sz="0" w:space="0" w:color="auto"/>
      </w:divBdr>
    </w:div>
    <w:div w:id="2056347071">
      <w:bodyDiv w:val="1"/>
      <w:marLeft w:val="0"/>
      <w:marRight w:val="0"/>
      <w:marTop w:val="0"/>
      <w:marBottom w:val="0"/>
      <w:divBdr>
        <w:top w:val="none" w:sz="0" w:space="0" w:color="auto"/>
        <w:left w:val="none" w:sz="0" w:space="0" w:color="auto"/>
        <w:bottom w:val="none" w:sz="0" w:space="0" w:color="auto"/>
        <w:right w:val="none" w:sz="0" w:space="0" w:color="auto"/>
      </w:divBdr>
    </w:div>
    <w:div w:id="2072078647">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16627926">
      <w:bodyDiv w:val="1"/>
      <w:marLeft w:val="0"/>
      <w:marRight w:val="0"/>
      <w:marTop w:val="0"/>
      <w:marBottom w:val="0"/>
      <w:divBdr>
        <w:top w:val="none" w:sz="0" w:space="0" w:color="auto"/>
        <w:left w:val="none" w:sz="0" w:space="0" w:color="auto"/>
        <w:bottom w:val="none" w:sz="0" w:space="0" w:color="auto"/>
        <w:right w:val="none" w:sz="0" w:space="0" w:color="auto"/>
      </w:divBdr>
    </w:div>
    <w:div w:id="21256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ngqueen.org.uk/contact" TargetMode="External"/><Relationship Id="rId18" Type="http://schemas.openxmlformats.org/officeDocument/2006/relationships/hyperlink" Target="https://www.kingqueen.org.uk/s167" TargetMode="External"/><Relationship Id="rId26" Type="http://schemas.openxmlformats.org/officeDocument/2006/relationships/chart" Target="charts/chart2.xml"/><Relationship Id="rId39" Type="http://schemas.openxmlformats.org/officeDocument/2006/relationships/chart" Target="charts/chart14.xml"/><Relationship Id="rId21" Type="http://schemas.openxmlformats.org/officeDocument/2006/relationships/header" Target="header2.xml"/><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footer" Target="footer6.xml"/><Relationship Id="rId55" Type="http://schemas.openxmlformats.org/officeDocument/2006/relationships/image" Target="media/image6.sv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doug.paulley@kingqueen.org.uk" TargetMode="Externa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hyperlink" Target="https://assets.publishing.service.gov.uk/government/uploads/system/uploads/attachment_data/file/593350/access-for-wheelchair-users-taxis-and-private-hire-vehicles.pdf" TargetMode="External"/><Relationship Id="rId5" Type="http://schemas.openxmlformats.org/officeDocument/2006/relationships/settings" Target="settings.xml"/><Relationship Id="rId19" Type="http://schemas.openxmlformats.org/officeDocument/2006/relationships/hyperlink" Target="https://www.kingqueen.org.uk/s16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kingqueen.org.uk/contact" TargetMode="External"/><Relationship Id="rId22" Type="http://schemas.openxmlformats.org/officeDocument/2006/relationships/footer" Target="footer3.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3.gif"/><Relationship Id="rId43" Type="http://schemas.openxmlformats.org/officeDocument/2006/relationships/chart" Target="charts/chart18.xm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twitter.com/kingqueen3065" TargetMode="External"/><Relationship Id="rId25" Type="http://schemas.openxmlformats.org/officeDocument/2006/relationships/footer" Target="footer4.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chart" Target="charts/chart21.xml"/><Relationship Id="rId20" Type="http://schemas.openxmlformats.org/officeDocument/2006/relationships/chart" Target="charts/chart1.xml"/><Relationship Id="rId41" Type="http://schemas.openxmlformats.org/officeDocument/2006/relationships/chart" Target="charts/chart16.xm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oug.paulley@kingqueen.org.uk" TargetMode="External"/><Relationship Id="rId23" Type="http://schemas.openxmlformats.org/officeDocument/2006/relationships/image" Target="media/image2.png"/><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chart" Target="charts/chart23.xml"/></Relationships>
</file>

<file path=word/_rels/endnotes.xml.rels><?xml version="1.0" encoding="UTF-8" standalone="yes"?>
<Relationships xmlns="http://schemas.openxmlformats.org/package/2006/relationships"><Relationship Id="rId8" Type="http://schemas.openxmlformats.org/officeDocument/2006/relationships/hyperlink" Target="https://www.kingqueen.org.uk/s167" TargetMode="External"/><Relationship Id="rId13" Type="http://schemas.openxmlformats.org/officeDocument/2006/relationships/hyperlink" Target="https://www.whatdotheyknow.com/request/large_numbers_of_taxi_drivers_me" TargetMode="External"/><Relationship Id="rId18" Type="http://schemas.openxmlformats.org/officeDocument/2006/relationships/hyperlink" Target="https://www.disabilitynewsservice.com/ministers-face-twin-attack-over-bus-accessibility-failures/" TargetMode="External"/><Relationship Id="rId3" Type="http://schemas.openxmlformats.org/officeDocument/2006/relationships/hyperlink" Target="https://www.gov.uk/government/uploads/system/uploads/attachment_data/file/593350/access-for-wheelchair-users-taxis-and-private-hire-vehicles.pdf" TargetMode="External"/><Relationship Id="rId7" Type="http://schemas.openxmlformats.org/officeDocument/2006/relationships/hyperlink" Target="https://www.gov.uk/government/statistics/2011-rural-urban-classification-of-local-authority-and-other-higher-level-geographies-for-statistical-purposes" TargetMode="External"/><Relationship Id="rId12" Type="http://schemas.openxmlformats.org/officeDocument/2006/relationships/hyperlink" Target="https://www.whatdotheyknow.com/request/large_numbers_of_taxi_drivers_me_3" TargetMode="External"/><Relationship Id="rId17" Type="http://schemas.openxmlformats.org/officeDocument/2006/relationships/hyperlink" Target="https://www.england.nhs.uk/wheelchair-services/" TargetMode="External"/><Relationship Id="rId2" Type="http://schemas.openxmlformats.org/officeDocument/2006/relationships/hyperlink" Target="http://parliamentlive.tv/event/index/ae6b6f0c-71fb-4385-889b-5275f94fba81?in=15:59:52" TargetMode="External"/><Relationship Id="rId16" Type="http://schemas.openxmlformats.org/officeDocument/2006/relationships/hyperlink" Target="http://data.parliament.uk/writtenevidence/committeeevidence.svc/evidencedocument/equality-act-2010-and-disability-committee/equality-act-2010-and-disability/oral/26351.html" TargetMode="External"/><Relationship Id="rId1" Type="http://schemas.openxmlformats.org/officeDocument/2006/relationships/hyperlink" Target="http://www.legislation.gov.uk/ukpga/2010/15" TargetMode="External"/><Relationship Id="rId6" Type="http://schemas.openxmlformats.org/officeDocument/2006/relationships/hyperlink" Target="http://www.legislation.gov.uk/ukpga/2000/36/contents" TargetMode="External"/><Relationship Id="rId11" Type="http://schemas.openxmlformats.org/officeDocument/2006/relationships/hyperlink" Target="https://www.whatdotheyknow.com/request/large_numbers_of_taxi_drivers_me_2" TargetMode="External"/><Relationship Id="rId5" Type="http://schemas.openxmlformats.org/officeDocument/2006/relationships/hyperlink" Target="https://www.transport.gov.scot/publication/scottish-transport-statistics-no-35-datasets/" TargetMode="External"/><Relationship Id="rId15" Type="http://schemas.openxmlformats.org/officeDocument/2006/relationships/hyperlink" Target="https://www.whatdotheyknow.com/request/prosecution_under_s165_of_the_eq" TargetMode="External"/><Relationship Id="rId10" Type="http://schemas.openxmlformats.org/officeDocument/2006/relationships/hyperlink" Target="https://www.whatdotheyknow.com/request/large_number_of_exemptions_under" TargetMode="External"/><Relationship Id="rId19" Type="http://schemas.openxmlformats.org/officeDocument/2006/relationships/hyperlink" Target="https://www.disabilitynewsservice.com/baroness-campbell-vows-to-fight-on-over-access-to-buses/" TargetMode="External"/><Relationship Id="rId4" Type="http://schemas.openxmlformats.org/officeDocument/2006/relationships/hyperlink" Target="https://www.gov.uk/government/statistics/taxi-and-private-hire-vehicles-statistics-england-2017" TargetMode="External"/><Relationship Id="rId9" Type="http://schemas.openxmlformats.org/officeDocument/2006/relationships/hyperlink" Target="https://www.gov.uk/government/publications/access-for-wheelchair-users-to-taxis-and-private-hire-vehicles" TargetMode="External"/><Relationship Id="rId14" Type="http://schemas.openxmlformats.org/officeDocument/2006/relationships/hyperlink" Target="https://www.peterboroughtoday.co.uk/news/crime/taxi-driver-fined-for-not-properly-securing-disabled-passenger-1-518790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2018!Intent2018</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cap="none" baseline="0"/>
              <a:t>GB Taxi Licensing Authorities</a:t>
            </a:r>
          </a:p>
          <a:p>
            <a:pPr>
              <a:defRPr sz="1600" b="1" i="0" u="none" strike="noStrike" kern="1200" cap="all" baseline="0">
                <a:solidFill>
                  <a:schemeClr val="tx1">
                    <a:lumMod val="65000"/>
                    <a:lumOff val="35000"/>
                  </a:schemeClr>
                </a:solidFill>
                <a:latin typeface="+mn-lt"/>
                <a:ea typeface="+mn-ea"/>
                <a:cs typeface="+mn-cs"/>
              </a:defRPr>
            </a:pPr>
            <a:r>
              <a:rPr lang="en-GB" cap="none" baseline="0"/>
              <a:t>S167 list May 2018</a:t>
            </a:r>
          </a:p>
        </c:rich>
      </c:tx>
      <c:overlay val="0"/>
      <c:spPr>
        <a:noFill/>
        <a:ln>
          <a:noFill/>
        </a:ln>
        <a:effectLst/>
      </c:sp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661872970094137"/>
              <c:y val="-1.8763288391768128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pivotFmt>
      <c:pivotFmt>
        <c:idx val="31"/>
        <c:spPr>
          <a:solidFill>
            <a:schemeClr val="accent2"/>
          </a:solidFill>
          <a:ln>
            <a:noFill/>
          </a:ln>
          <a:effectLst>
            <a:outerShdw blurRad="63500" sx="102000" sy="102000" algn="ctr" rotWithShape="0">
              <a:prstClr val="black">
                <a:alpha val="20000"/>
              </a:prstClr>
            </a:outerShdw>
          </a:effectLst>
        </c:spPr>
      </c:pivotFmt>
      <c:pivotFmt>
        <c:idx val="32"/>
        <c:spPr>
          <a:solidFill>
            <a:schemeClr val="accent3"/>
          </a:solidFill>
          <a:ln>
            <a:noFill/>
          </a:ln>
          <a:effectLst>
            <a:outerShdw blurRad="63500" sx="102000" sy="102000" algn="ctr" rotWithShape="0">
              <a:prstClr val="black">
                <a:alpha val="20000"/>
              </a:prstClr>
            </a:outerShdw>
          </a:effectLst>
        </c:spPr>
      </c:pivotFmt>
      <c:pivotFmt>
        <c:idx val="33"/>
        <c:spPr>
          <a:solidFill>
            <a:schemeClr val="accent4"/>
          </a:solidFill>
          <a:ln>
            <a:noFill/>
          </a:ln>
          <a:effectLst>
            <a:outerShdw blurRad="63500" sx="102000" sy="102000" algn="ctr" rotWithShape="0">
              <a:prstClr val="black">
                <a:alpha val="20000"/>
              </a:prstClr>
            </a:outerShdw>
          </a:effectLst>
        </c:spPr>
      </c:pivotFmt>
      <c:pivotFmt>
        <c:idx val="34"/>
        <c:spPr>
          <a:solidFill>
            <a:schemeClr val="accent5"/>
          </a:solidFill>
          <a:ln>
            <a:noFill/>
          </a:ln>
          <a:effectLst>
            <a:outerShdw blurRad="63500" sx="102000" sy="102000" algn="ctr" rotWithShape="0">
              <a:prstClr val="black">
                <a:alpha val="20000"/>
              </a:prstClr>
            </a:outerShdw>
          </a:effectLst>
        </c:spPr>
      </c:pivotFmt>
      <c:pivotFmt>
        <c:idx val="3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pivotFmt>
      <c:pivotFmt>
        <c:idx val="43"/>
        <c:spPr>
          <a:solidFill>
            <a:schemeClr val="accent2"/>
          </a:solidFill>
          <a:ln>
            <a:noFill/>
          </a:ln>
          <a:effectLst>
            <a:outerShdw blurRad="63500" sx="102000" sy="102000" algn="ctr" rotWithShape="0">
              <a:prstClr val="black">
                <a:alpha val="20000"/>
              </a:prstClr>
            </a:outerShdw>
          </a:effectLst>
        </c:spPr>
      </c:pivotFmt>
      <c:pivotFmt>
        <c:idx val="44"/>
        <c:spPr>
          <a:solidFill>
            <a:schemeClr val="accent3"/>
          </a:solidFill>
          <a:ln>
            <a:noFill/>
          </a:ln>
          <a:effectLst>
            <a:outerShdw blurRad="63500" sx="102000" sy="102000" algn="ctr" rotWithShape="0">
              <a:prstClr val="black">
                <a:alpha val="20000"/>
              </a:prstClr>
            </a:outerShdw>
          </a:effectLst>
        </c:spPr>
      </c:pivotFmt>
      <c:pivotFmt>
        <c:idx val="45"/>
        <c:spPr>
          <a:solidFill>
            <a:schemeClr val="accent4"/>
          </a:solidFill>
          <a:ln>
            <a:noFill/>
          </a:ln>
          <a:effectLst>
            <a:outerShdw blurRad="63500" sx="102000" sy="102000" algn="ctr" rotWithShape="0">
              <a:prstClr val="black">
                <a:alpha val="20000"/>
              </a:prstClr>
            </a:outerShdw>
          </a:effectLst>
        </c:spPr>
      </c:pivotFmt>
      <c:pivotFmt>
        <c:idx val="46"/>
        <c:spPr>
          <a:solidFill>
            <a:schemeClr val="accent5"/>
          </a:solidFill>
          <a:ln>
            <a:noFill/>
          </a:ln>
          <a:effectLst>
            <a:outerShdw blurRad="63500" sx="102000" sy="102000" algn="ctr" rotWithShape="0">
              <a:prstClr val="black">
                <a:alpha val="20000"/>
              </a:prstClr>
            </a:outerShdw>
          </a:effectLst>
        </c:spPr>
      </c:pivotFmt>
      <c:pivotFmt>
        <c:idx val="4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4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9"/>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pivotFmt>
      <c:pivotFmt>
        <c:idx val="55"/>
        <c:spPr>
          <a:solidFill>
            <a:schemeClr val="accent2"/>
          </a:solidFill>
          <a:ln>
            <a:noFill/>
          </a:ln>
          <a:effectLst>
            <a:outerShdw blurRad="63500" sx="102000" sy="102000" algn="ctr" rotWithShape="0">
              <a:prstClr val="black">
                <a:alpha val="20000"/>
              </a:prstClr>
            </a:outerShdw>
          </a:effectLst>
        </c:spPr>
      </c:pivotFmt>
      <c:pivotFmt>
        <c:idx val="56"/>
        <c:spPr>
          <a:solidFill>
            <a:schemeClr val="accent3"/>
          </a:solidFill>
          <a:ln>
            <a:noFill/>
          </a:ln>
          <a:effectLst>
            <a:outerShdw blurRad="63500" sx="102000" sy="102000" algn="ctr" rotWithShape="0">
              <a:prstClr val="black">
                <a:alpha val="20000"/>
              </a:prstClr>
            </a:outerShdw>
          </a:effectLst>
        </c:spPr>
      </c:pivotFmt>
      <c:pivotFmt>
        <c:idx val="57"/>
        <c:spPr>
          <a:solidFill>
            <a:schemeClr val="accent4"/>
          </a:solidFill>
          <a:ln>
            <a:noFill/>
          </a:ln>
          <a:effectLst>
            <a:outerShdw blurRad="63500" sx="102000" sy="102000" algn="ctr" rotWithShape="0">
              <a:prstClr val="black">
                <a:alpha val="20000"/>
              </a:prstClr>
            </a:outerShdw>
          </a:effectLst>
        </c:spPr>
      </c:pivotFmt>
      <c:pivotFmt>
        <c:idx val="58"/>
        <c:spPr>
          <a:solidFill>
            <a:schemeClr val="accent5"/>
          </a:solidFill>
          <a:ln>
            <a:noFill/>
          </a:ln>
          <a:effectLst>
            <a:outerShdw blurRad="63500" sx="102000" sy="102000" algn="ctr" rotWithShape="0">
              <a:prstClr val="black">
                <a:alpha val="20000"/>
              </a:prstClr>
            </a:outerShdw>
          </a:effectLst>
        </c:spPr>
      </c:pivotFmt>
      <c:pivotFmt>
        <c:idx val="5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1"/>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63500" sx="102000" sy="102000" algn="ctr" rotWithShape="0">
              <a:prstClr val="black">
                <a:alpha val="20000"/>
              </a:prstClr>
            </a:outerShdw>
          </a:effectLst>
        </c:spPr>
      </c:pivotFmt>
      <c:pivotFmt>
        <c:idx val="64"/>
        <c:spPr>
          <a:solidFill>
            <a:schemeClr val="accent2"/>
          </a:solidFill>
          <a:ln>
            <a:noFill/>
          </a:ln>
          <a:effectLst>
            <a:outerShdw blurRad="63500" sx="102000" sy="102000" algn="ctr" rotWithShape="0">
              <a:prstClr val="black">
                <a:alpha val="20000"/>
              </a:prstClr>
            </a:outerShdw>
          </a:effectLst>
        </c:spPr>
      </c:pivotFmt>
      <c:pivotFmt>
        <c:idx val="6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pivotFmt>
      <c:pivotFmt>
        <c:idx val="70"/>
        <c:spPr>
          <a:solidFill>
            <a:schemeClr val="accent2"/>
          </a:solidFill>
          <a:ln>
            <a:noFill/>
          </a:ln>
          <a:effectLst>
            <a:outerShdw blurRad="63500" sx="102000" sy="102000" algn="ctr" rotWithShape="0">
              <a:prstClr val="black">
                <a:alpha val="20000"/>
              </a:prstClr>
            </a:outerShdw>
          </a:effectLst>
        </c:spPr>
      </c:pivotFmt>
      <c:pivotFmt>
        <c:idx val="7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pivotFmt>
      <c:pivotFmt>
        <c:idx val="76"/>
        <c:spPr>
          <a:solidFill>
            <a:schemeClr val="accent2"/>
          </a:solidFill>
          <a:ln>
            <a:noFill/>
          </a:ln>
          <a:effectLst>
            <a:outerShdw blurRad="63500" sx="102000" sy="102000" algn="ctr" rotWithShape="0">
              <a:prstClr val="black">
                <a:alpha val="20000"/>
              </a:prstClr>
            </a:outerShdw>
          </a:effectLst>
        </c:spPr>
      </c:pivotFmt>
      <c:pivotFmt>
        <c:idx val="7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pivotFmt>
      <c:pivotFmt>
        <c:idx val="82"/>
        <c:spPr>
          <a:solidFill>
            <a:schemeClr val="accent2"/>
          </a:solidFill>
          <a:ln>
            <a:noFill/>
          </a:ln>
          <a:effectLst>
            <a:outerShdw blurRad="63500" sx="102000" sy="102000" algn="ctr" rotWithShape="0">
              <a:prstClr val="black">
                <a:alpha val="20000"/>
              </a:prstClr>
            </a:outerShdw>
          </a:effectLst>
        </c:spPr>
      </c:pivotFmt>
      <c:pivotFmt>
        <c:idx val="83"/>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8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pivotFmt>
      <c:pivotFmt>
        <c:idx val="88"/>
        <c:spPr>
          <a:solidFill>
            <a:schemeClr val="accent2"/>
          </a:solidFill>
          <a:ln>
            <a:noFill/>
          </a:ln>
          <a:effectLst>
            <a:outerShdw blurRad="63500" sx="102000" sy="102000" algn="ctr" rotWithShape="0">
              <a:prstClr val="black">
                <a:alpha val="20000"/>
              </a:prstClr>
            </a:outerShdw>
          </a:effectLst>
        </c:spPr>
      </c:pivotFmt>
      <c:pivotFmt>
        <c:idx val="8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9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pivotFmt>
      <c:pivotFmt>
        <c:idx val="94"/>
        <c:spPr>
          <a:solidFill>
            <a:schemeClr val="accent2"/>
          </a:solidFill>
          <a:ln>
            <a:noFill/>
          </a:ln>
          <a:effectLst>
            <a:outerShdw blurRad="63500" sx="102000" sy="102000" algn="ctr" rotWithShape="0">
              <a:prstClr val="black">
                <a:alpha val="20000"/>
              </a:prstClr>
            </a:outerShdw>
          </a:effectLst>
        </c:spPr>
      </c:pivotFmt>
      <c:pivotFmt>
        <c:idx val="9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9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pivotFmt>
      <c:pivotFmt>
        <c:idx val="100"/>
        <c:spPr>
          <a:solidFill>
            <a:schemeClr val="accent2"/>
          </a:solidFill>
          <a:ln>
            <a:noFill/>
          </a:ln>
          <a:effectLst>
            <a:outerShdw blurRad="63500" sx="102000" sy="102000" algn="ctr" rotWithShape="0">
              <a:prstClr val="black">
                <a:alpha val="20000"/>
              </a:prstClr>
            </a:outerShdw>
          </a:effectLst>
        </c:spPr>
      </c:pivotFmt>
      <c:pivotFmt>
        <c:idx val="10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0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pivotFmt>
      <c:pivotFmt>
        <c:idx val="106"/>
        <c:spPr>
          <a:solidFill>
            <a:schemeClr val="accent2"/>
          </a:solidFill>
          <a:ln>
            <a:noFill/>
          </a:ln>
          <a:effectLst>
            <a:outerShdw blurRad="63500" sx="102000" sy="102000" algn="ctr" rotWithShape="0">
              <a:prstClr val="black">
                <a:alpha val="20000"/>
              </a:prstClr>
            </a:outerShdw>
          </a:effectLst>
        </c:spPr>
      </c:pivotFmt>
    </c:pivotFmts>
    <c:plotArea>
      <c:layout/>
      <c:pieChart>
        <c:varyColors val="1"/>
        <c:ser>
          <c:idx val="0"/>
          <c:order val="0"/>
          <c:tx>
            <c:strRef>
              <c:f>'Statistics 2018'!$C$21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336B-48E4-9D86-319701FBB057}"/>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336B-48E4-9D86-319701FBB057}"/>
              </c:ext>
            </c:extLst>
          </c:dPt>
          <c:dPt>
            <c:idx val="2"/>
            <c:bubble3D val="0"/>
            <c:extLst>
              <c:ext xmlns:c16="http://schemas.microsoft.com/office/drawing/2014/chart" uri="{C3380CC4-5D6E-409C-BE32-E72D297353CC}">
                <c16:uniqueId val="{00000004-336B-48E4-9D86-319701FBB057}"/>
              </c:ext>
            </c:extLst>
          </c:dPt>
          <c:dPt>
            <c:idx val="3"/>
            <c:bubble3D val="0"/>
            <c:extLst>
              <c:ext xmlns:c16="http://schemas.microsoft.com/office/drawing/2014/chart" uri="{C3380CC4-5D6E-409C-BE32-E72D297353CC}">
                <c16:uniqueId val="{00000005-336B-48E4-9D86-319701FBB057}"/>
              </c:ext>
            </c:extLst>
          </c:dPt>
          <c:dPt>
            <c:idx val="4"/>
            <c:bubble3D val="0"/>
            <c:extLst>
              <c:ext xmlns:c16="http://schemas.microsoft.com/office/drawing/2014/chart" uri="{C3380CC4-5D6E-409C-BE32-E72D297353CC}">
                <c16:uniqueId val="{00000006-336B-48E4-9D86-319701FBB057}"/>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36B-48E4-9D86-319701FBB057}"/>
                </c:ext>
              </c:extLst>
            </c:dLbl>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36B-48E4-9D86-319701FBB057}"/>
                </c:ext>
              </c:extLst>
            </c:dLbl>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'Statistics 2018'!$B$22:$B$24</c:f>
              <c:strCache>
                <c:ptCount val="2"/>
                <c:pt idx="0">
                  <c:v>Yes</c:v>
                </c:pt>
                <c:pt idx="1">
                  <c:v>No</c:v>
                </c:pt>
              </c:strCache>
            </c:strRef>
          </c:cat>
          <c:val>
            <c:numRef>
              <c:f>'Statistics 2018'!$C$22:$C$24</c:f>
              <c:numCache>
                <c:formatCode>#,##0_ ;[Red]\-#,##0\ </c:formatCode>
                <c:ptCount val="2"/>
                <c:pt idx="0">
                  <c:v>167</c:v>
                </c:pt>
                <c:pt idx="1">
                  <c:v>179</c:v>
                </c:pt>
              </c:numCache>
            </c:numRef>
          </c:val>
          <c:extLst>
            <c:ext xmlns:c16="http://schemas.microsoft.com/office/drawing/2014/chart" uri="{C3380CC4-5D6E-409C-BE32-E72D297353CC}">
              <c16:uniqueId val="{00000007-336B-48E4-9D86-319701FBB057}"/>
            </c:ext>
          </c:extLst>
        </c:ser>
        <c:ser>
          <c:idx val="1"/>
          <c:order val="1"/>
          <c:tx>
            <c:strRef>
              <c:f>'Statistics 2018'!$D$21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36B-48E4-9D86-319701FBB05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36B-48E4-9D86-319701FBB057}"/>
              </c:ext>
            </c:extLst>
          </c:dPt>
          <c:dPt>
            <c:idx val="2"/>
            <c:bubble3D val="0"/>
            <c:extLst>
              <c:ext xmlns:c16="http://schemas.microsoft.com/office/drawing/2014/chart" uri="{C3380CC4-5D6E-409C-BE32-E72D297353CC}">
                <c16:uniqueId val="{0000000C-336B-48E4-9D86-319701FBB057}"/>
              </c:ext>
            </c:extLst>
          </c:dPt>
          <c:dPt>
            <c:idx val="3"/>
            <c:bubble3D val="0"/>
            <c:extLst>
              <c:ext xmlns:c16="http://schemas.microsoft.com/office/drawing/2014/chart" uri="{C3380CC4-5D6E-409C-BE32-E72D297353CC}">
                <c16:uniqueId val="{0000000D-336B-48E4-9D86-319701FBB057}"/>
              </c:ext>
            </c:extLst>
          </c:dPt>
          <c:dPt>
            <c:idx val="4"/>
            <c:bubble3D val="0"/>
            <c:extLst>
              <c:ext xmlns:c16="http://schemas.microsoft.com/office/drawing/2014/chart" uri="{C3380CC4-5D6E-409C-BE32-E72D297353CC}">
                <c16:uniqueId val="{0000000E-336B-48E4-9D86-319701FBB05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2018'!$B$22:$B$24</c:f>
              <c:strCache>
                <c:ptCount val="2"/>
                <c:pt idx="0">
                  <c:v>Yes</c:v>
                </c:pt>
                <c:pt idx="1">
                  <c:v>No</c:v>
                </c:pt>
              </c:strCache>
            </c:strRef>
          </c:cat>
          <c:val>
            <c:numRef>
              <c:f>'Statistics 2018'!$D$22:$D$24</c:f>
              <c:numCache>
                <c:formatCode>0%</c:formatCode>
                <c:ptCount val="2"/>
                <c:pt idx="0">
                  <c:v>0.48265895953757226</c:v>
                </c:pt>
                <c:pt idx="1">
                  <c:v>0.51734104046242779</c:v>
                </c:pt>
              </c:numCache>
            </c:numRef>
          </c:val>
          <c:extLst>
            <c:ext xmlns:c16="http://schemas.microsoft.com/office/drawing/2014/chart" uri="{C3380CC4-5D6E-409C-BE32-E72D297353CC}">
              <c16:uniqueId val="{0000000F-336B-48E4-9D86-319701FBB05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2018!GradeWales2018</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cap="none" baseline="0"/>
              <a:t>Wales S167 Grades May 2018</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6"/>
        <c:spPr>
          <a:solidFill>
            <a:srgbClr val="FFEB84"/>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2"/>
        <c:spPr>
          <a:solidFill>
            <a:srgbClr val="FFEB84"/>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8"/>
        <c:spPr>
          <a:solidFill>
            <a:srgbClr val="FFEB84"/>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2018'!$C$69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63EA-46D5-98F9-B91D8C4DBE93}"/>
              </c:ext>
            </c:extLst>
          </c:dPt>
          <c:dPt>
            <c:idx val="1"/>
            <c:bubble3D val="0"/>
            <c:spPr>
              <a:solidFill>
                <a:srgbClr val="FFEB8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63EA-46D5-98F9-B91D8C4DBE93}"/>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63EA-46D5-98F9-B91D8C4DBE93}"/>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63EA-46D5-98F9-B91D8C4DBE93}"/>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63EA-46D5-98F9-B91D8C4DBE93}"/>
              </c:ext>
            </c:extLst>
          </c:dPt>
          <c:dLbls>
            <c:dLbl>
              <c:idx val="0"/>
              <c:layout>
                <c:manualLayout>
                  <c:x val="-5.5226824457593686E-2"/>
                  <c:y val="-3.2128724873246362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372781065088756"/>
                      <c:h val="0.21392235609103077"/>
                    </c:manualLayout>
                  </c15:layout>
                </c:ext>
                <c:ext xmlns:c16="http://schemas.microsoft.com/office/drawing/2014/chart" uri="{C3380CC4-5D6E-409C-BE32-E72D297353CC}">
                  <c16:uniqueId val="{00000001-63EA-46D5-98F9-B91D8C4DBE93}"/>
                </c:ext>
              </c:extLst>
            </c:dLbl>
            <c:dLbl>
              <c:idx val="1"/>
              <c:layout>
                <c:manualLayout>
                  <c:x val="4.7337278106508875E-2"/>
                  <c:y val="-1.0709504685408299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583826429980277"/>
                      <c:h val="0.20321285140562248"/>
                    </c:manualLayout>
                  </c15:layout>
                </c:ext>
                <c:ext xmlns:c16="http://schemas.microsoft.com/office/drawing/2014/chart" uri="{C3380CC4-5D6E-409C-BE32-E72D297353CC}">
                  <c16:uniqueId val="{00000003-63EA-46D5-98F9-B91D8C4DBE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2018'!$B$70:$B$72</c:f>
              <c:strCache>
                <c:ptCount val="2"/>
                <c:pt idx="0">
                  <c:v>A</c:v>
                </c:pt>
                <c:pt idx="1">
                  <c:v>C</c:v>
                </c:pt>
              </c:strCache>
            </c:strRef>
          </c:cat>
          <c:val>
            <c:numRef>
              <c:f>'Statistics 2018'!$C$70:$C$72</c:f>
              <c:numCache>
                <c:formatCode>0</c:formatCode>
                <c:ptCount val="2"/>
                <c:pt idx="0">
                  <c:v>17</c:v>
                </c:pt>
                <c:pt idx="1">
                  <c:v>5</c:v>
                </c:pt>
              </c:numCache>
            </c:numRef>
          </c:val>
          <c:extLst>
            <c:ext xmlns:c16="http://schemas.microsoft.com/office/drawing/2014/chart" uri="{C3380CC4-5D6E-409C-BE32-E72D297353CC}">
              <c16:uniqueId val="{0000000A-63EA-46D5-98F9-B91D8C4DBE93}"/>
            </c:ext>
          </c:extLst>
        </c:ser>
        <c:ser>
          <c:idx val="1"/>
          <c:order val="1"/>
          <c:tx>
            <c:strRef>
              <c:f>'Statistics 2018'!$D$69</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63EA-46D5-98F9-B91D8C4DBE9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63EA-46D5-98F9-B91D8C4DBE9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63EA-46D5-98F9-B91D8C4DBE9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63EA-46D5-98F9-B91D8C4DBE9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63EA-46D5-98F9-B91D8C4DBE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63EA-46D5-98F9-B91D8C4DBE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63EA-46D5-98F9-B91D8C4DBE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2018'!$B$70:$B$72</c:f>
              <c:strCache>
                <c:ptCount val="2"/>
                <c:pt idx="0">
                  <c:v>A</c:v>
                </c:pt>
                <c:pt idx="1">
                  <c:v>C</c:v>
                </c:pt>
              </c:strCache>
            </c:strRef>
          </c:cat>
          <c:val>
            <c:numRef>
              <c:f>'Statistics 2018'!$D$70:$D$72</c:f>
              <c:numCache>
                <c:formatCode>0%</c:formatCode>
                <c:ptCount val="2"/>
                <c:pt idx="0">
                  <c:v>0.77272727272727271</c:v>
                </c:pt>
                <c:pt idx="1">
                  <c:v>0.22727272727272727</c:v>
                </c:pt>
              </c:numCache>
            </c:numRef>
          </c:val>
          <c:extLst>
            <c:ext xmlns:c16="http://schemas.microsoft.com/office/drawing/2014/chart" uri="{C3380CC4-5D6E-409C-BE32-E72D297353CC}">
              <c16:uniqueId val="{00000015-63EA-46D5-98F9-B91D8C4DBE9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GB </a:t>
            </a:r>
            <a:r>
              <a:rPr lang="en-US" sz="1200" b="1" i="0" baseline="0">
                <a:effectLst/>
              </a:rPr>
              <a:t>S167 Intent</a:t>
            </a:r>
            <a:endParaRPr lang="en-GB" sz="1200">
              <a:effectLst/>
            </a:endParaRPr>
          </a:p>
        </c:rich>
      </c:tx>
      <c:overlay val="0"/>
      <c:spPr>
        <a:solidFill>
          <a:schemeClr val="bg1"/>
        </a:solidFill>
        <a:ln>
          <a:noFill/>
        </a:ln>
        <a:effectLst/>
      </c:spPr>
      <c:txPr>
        <a:bodyPr rot="0" spcFirstLastPara="1" vertOverflow="ellipsis" vert="horz" wrap="square" anchor="ctr" anchorCtr="0"/>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20925624992864292"/>
          <c:y val="0.13320165487788602"/>
          <c:w val="0.7423389137740094"/>
          <c:h val="0.73589691119118583"/>
        </c:manualLayout>
      </c:layout>
      <c:barChart>
        <c:barDir val="col"/>
        <c:grouping val="percentStacked"/>
        <c:varyColors val="0"/>
        <c:ser>
          <c:idx val="0"/>
          <c:order val="0"/>
          <c:tx>
            <c:strRef>
              <c:f>'2018 calculations'!$H$402</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spPr>
              <a:noFill/>
              <a:ln>
                <a:noFill/>
              </a:ln>
              <a:effectLst/>
            </c:spPr>
            <c:txPr>
              <a:bodyPr rot="0" spcFirstLastPara="1" vertOverflow="overflow" horzOverflow="overflow" vert="horz" wrap="square" lIns="38100" tIns="19050" rIns="38100" bIns="19050" anchor="t" anchorCtr="1">
                <a:spAutoFit/>
              </a:bodyPr>
              <a:lstStyle/>
              <a:p>
                <a:pPr>
                  <a:defRPr sz="12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calculations'!$I$401:$K$401</c:f>
              <c:strCache>
                <c:ptCount val="3"/>
                <c:pt idx="0">
                  <c:v>April 2017</c:v>
                </c:pt>
                <c:pt idx="1">
                  <c:v>Nov 2017</c:v>
                </c:pt>
                <c:pt idx="2">
                  <c:v>May 2018</c:v>
                </c:pt>
              </c:strCache>
            </c:strRef>
          </c:cat>
          <c:val>
            <c:numRef>
              <c:f>'2018 calculations'!$I$402:$K$402</c:f>
              <c:numCache>
                <c:formatCode>0%</c:formatCode>
                <c:ptCount val="3"/>
                <c:pt idx="0">
                  <c:v>0.41786743515850144</c:v>
                </c:pt>
                <c:pt idx="1">
                  <c:v>0.49855907780979825</c:v>
                </c:pt>
                <c:pt idx="2">
                  <c:v>0.48265895953757226</c:v>
                </c:pt>
              </c:numCache>
            </c:numRef>
          </c:val>
          <c:extLst>
            <c:ext xmlns:c16="http://schemas.microsoft.com/office/drawing/2014/chart" uri="{C3380CC4-5D6E-409C-BE32-E72D297353CC}">
              <c16:uniqueId val="{00000000-784F-478C-A3A0-6A9BCBD82C52}"/>
            </c:ext>
          </c:extLst>
        </c:ser>
        <c:ser>
          <c:idx val="1"/>
          <c:order val="1"/>
          <c:tx>
            <c:strRef>
              <c:f>'2018 calculations'!$H$403</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'2018 calculations'!$I$401:$K$401</c:f>
              <c:strCache>
                <c:ptCount val="3"/>
                <c:pt idx="0">
                  <c:v>April 2017</c:v>
                </c:pt>
                <c:pt idx="1">
                  <c:v>Nov 2017</c:v>
                </c:pt>
                <c:pt idx="2">
                  <c:v>May 2018</c:v>
                </c:pt>
              </c:strCache>
            </c:strRef>
          </c:cat>
          <c:val>
            <c:numRef>
              <c:f>'2018 calculations'!$I$403:$K$403</c:f>
              <c:numCache>
                <c:formatCode>0%</c:formatCode>
                <c:ptCount val="3"/>
                <c:pt idx="0">
                  <c:v>0.58213256484149856</c:v>
                </c:pt>
                <c:pt idx="1">
                  <c:v>0.50144092219020175</c:v>
                </c:pt>
                <c:pt idx="2">
                  <c:v>0.51734104046242779</c:v>
                </c:pt>
              </c:numCache>
            </c:numRef>
          </c:val>
          <c:extLst>
            <c:ext xmlns:c16="http://schemas.microsoft.com/office/drawing/2014/chart" uri="{C3380CC4-5D6E-409C-BE32-E72D297353CC}">
              <c16:uniqueId val="{00000001-784F-478C-A3A0-6A9BCBD82C52}"/>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a:t>Proportion</a:t>
                </a:r>
                <a:r>
                  <a:rPr lang="en-GB" sz="1200" baseline="0"/>
                  <a:t> of Authorities</a:t>
                </a:r>
              </a:p>
            </c:rich>
          </c:tx>
          <c:layout>
            <c:manualLayout>
              <c:xMode val="edge"/>
              <c:yMode val="edge"/>
              <c:x val="2.4870142980379217E-3"/>
              <c:y val="0.2605679374823909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200" b="0" i="0" u="none" strike="noStrike" kern="1200" spc="0" baseline="0">
                <a:solidFill>
                  <a:schemeClr val="tx1">
                    <a:lumMod val="65000"/>
                    <a:lumOff val="35000"/>
                  </a:schemeClr>
                </a:solidFill>
                <a:latin typeface="+mn-lt"/>
                <a:ea typeface="+mn-ea"/>
                <a:cs typeface="+mn-cs"/>
              </a:defRPr>
            </a:pPr>
            <a:r>
              <a:rPr lang="en-US" sz="1200" b="1" i="0" baseline="0">
                <a:effectLst/>
              </a:rPr>
              <a:t>GB S167 Grade</a:t>
            </a:r>
            <a:endParaRPr lang="en-GB" sz="1200">
              <a:effectLst/>
            </a:endParaRPr>
          </a:p>
        </c:rich>
      </c:tx>
      <c:layout>
        <c:manualLayout>
          <c:xMode val="edge"/>
          <c:yMode val="edge"/>
          <c:x val="0.35037281239499035"/>
          <c:y val="3.3029345908032685E-2"/>
        </c:manualLayout>
      </c:layout>
      <c:overlay val="0"/>
      <c:spPr>
        <a:solidFill>
          <a:schemeClr val="bg1"/>
        </a:solidFill>
        <a:ln>
          <a:noFill/>
        </a:ln>
        <a:effectLst/>
      </c:spPr>
      <c:txPr>
        <a:bodyPr rot="0" spcFirstLastPara="1" vertOverflow="ellipsis" vert="horz" wrap="square" anchor="ctr" anchorCtr="0"/>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'2018 calculations'!$B$402</c:f>
              <c:strCache>
                <c:ptCount val="1"/>
                <c:pt idx="0">
                  <c:v>A</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0"/>
                  <c:y val="-2.6385519227594759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74D-4DF0-826E-5BA91782A45E}"/>
                </c:ext>
              </c:extLst>
            </c:dLbl>
            <c:dLbl>
              <c:idx val="1"/>
              <c:layout>
                <c:manualLayout>
                  <c:x val="-2.5276458780066546E-3"/>
                  <c:y val="-5.1871151024959605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74D-4DF0-826E-5BA91782A45E}"/>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'2018 calculations'!$C$401:$E$401</c:f>
              <c:strCache>
                <c:ptCount val="3"/>
                <c:pt idx="0">
                  <c:v>April 2017</c:v>
                </c:pt>
                <c:pt idx="1">
                  <c:v>Nov 2017</c:v>
                </c:pt>
                <c:pt idx="2">
                  <c:v>May 2018</c:v>
                </c:pt>
              </c:strCache>
            </c:strRef>
          </c:cat>
          <c:val>
            <c:numRef>
              <c:f>'2018 calculations'!$C$402:$E$402</c:f>
              <c:numCache>
                <c:formatCode>0%</c:formatCode>
                <c:ptCount val="3"/>
                <c:pt idx="0">
                  <c:v>0.11239193083573487</c:v>
                </c:pt>
                <c:pt idx="1">
                  <c:v>0.34293948126801155</c:v>
                </c:pt>
                <c:pt idx="2">
                  <c:v>0.48265895953757226</c:v>
                </c:pt>
              </c:numCache>
            </c:numRef>
          </c:val>
          <c:extLst>
            <c:ext xmlns:c16="http://schemas.microsoft.com/office/drawing/2014/chart" uri="{C3380CC4-5D6E-409C-BE32-E72D297353CC}">
              <c16:uniqueId val="{00000002-974D-4DF0-826E-5BA91782A45E}"/>
            </c:ext>
          </c:extLst>
        </c:ser>
        <c:ser>
          <c:idx val="1"/>
          <c:order val="1"/>
          <c:tx>
            <c:strRef>
              <c:f>'2018 calculations'!$B$403</c:f>
              <c:strCache>
                <c:ptCount val="1"/>
                <c:pt idx="0">
                  <c:v>B</c:v>
                </c:pt>
              </c:strCache>
            </c:strRef>
          </c:tx>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0"/>
                  <c:y val="-5.3229366214685939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74D-4DF0-826E-5BA91782A45E}"/>
                </c:ext>
              </c:extLst>
            </c:dLbl>
            <c:dLbl>
              <c:idx val="1"/>
              <c:layout>
                <c:manualLayout>
                  <c:x val="0"/>
                  <c:y val="-7.5532787389205724E-3"/>
                </c:manualLayout>
              </c:layout>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74D-4DF0-826E-5BA91782A45E}"/>
                </c:ext>
              </c:extLst>
            </c:dLbl>
            <c:dLbl>
              <c:idx val="2"/>
              <c:delete val="1"/>
              <c:extLst>
                <c:ext xmlns:c15="http://schemas.microsoft.com/office/drawing/2012/chart" uri="{CE6537A1-D6FC-4f65-9D91-7224C49458BB}"/>
                <c:ext xmlns:c16="http://schemas.microsoft.com/office/drawing/2014/chart" uri="{C3380CC4-5D6E-409C-BE32-E72D297353CC}">
                  <c16:uniqueId val="{00000005-974D-4DF0-826E-5BA91782A45E}"/>
                </c:ext>
              </c:extLst>
            </c:dLbl>
            <c:spPr>
              <a:noFill/>
              <a:ln>
                <a:noFill/>
              </a:ln>
              <a:effectLst/>
            </c:spPr>
            <c:txPr>
              <a:bodyPr rot="0" spcFirstLastPara="1" vertOverflow="overflow" horzOverflow="overflow" vert="horz" wrap="square" lIns="38100" tIns="19050" rIns="38100" bIns="19050" anchor="b"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'2018 calculations'!$C$401:$E$401</c:f>
              <c:strCache>
                <c:ptCount val="3"/>
                <c:pt idx="0">
                  <c:v>April 2017</c:v>
                </c:pt>
                <c:pt idx="1">
                  <c:v>Nov 2017</c:v>
                </c:pt>
                <c:pt idx="2">
                  <c:v>May 2018</c:v>
                </c:pt>
              </c:strCache>
            </c:strRef>
          </c:cat>
          <c:val>
            <c:numRef>
              <c:f>'2018 calculations'!$C$403:$E$403</c:f>
              <c:numCache>
                <c:formatCode>0%</c:formatCode>
                <c:ptCount val="3"/>
                <c:pt idx="0">
                  <c:v>0.30547550432276654</c:v>
                </c:pt>
                <c:pt idx="1">
                  <c:v>0.15561959654178675</c:v>
                </c:pt>
                <c:pt idx="2">
                  <c:v>0</c:v>
                </c:pt>
              </c:numCache>
            </c:numRef>
          </c:val>
          <c:extLst>
            <c:ext xmlns:c16="http://schemas.microsoft.com/office/drawing/2014/chart" uri="{C3380CC4-5D6E-409C-BE32-E72D297353CC}">
              <c16:uniqueId val="{00000006-974D-4DF0-826E-5BA91782A45E}"/>
            </c:ext>
          </c:extLst>
        </c:ser>
        <c:ser>
          <c:idx val="2"/>
          <c:order val="2"/>
          <c:tx>
            <c:strRef>
              <c:f>'2018 calculations'!$B$404</c:f>
              <c:strCache>
                <c:ptCount val="1"/>
                <c:pt idx="0">
                  <c:v>C</c:v>
                </c:pt>
              </c:strCache>
            </c:strRef>
          </c:tx>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'2018 calculations'!$C$401:$E$401</c:f>
              <c:strCache>
                <c:ptCount val="3"/>
                <c:pt idx="0">
                  <c:v>April 2017</c:v>
                </c:pt>
                <c:pt idx="1">
                  <c:v>Nov 2017</c:v>
                </c:pt>
                <c:pt idx="2">
                  <c:v>May 2018</c:v>
                </c:pt>
              </c:strCache>
            </c:strRef>
          </c:cat>
          <c:val>
            <c:numRef>
              <c:f>'2018 calculations'!$C$404:$E$404</c:f>
              <c:numCache>
                <c:formatCode>0%</c:formatCode>
                <c:ptCount val="3"/>
                <c:pt idx="0">
                  <c:v>0.16426512968299711</c:v>
                </c:pt>
                <c:pt idx="1">
                  <c:v>0.23631123919308358</c:v>
                </c:pt>
                <c:pt idx="2">
                  <c:v>0.34104046242774566</c:v>
                </c:pt>
              </c:numCache>
            </c:numRef>
          </c:val>
          <c:extLst>
            <c:ext xmlns:c16="http://schemas.microsoft.com/office/drawing/2014/chart" uri="{C3380CC4-5D6E-409C-BE32-E72D297353CC}">
              <c16:uniqueId val="{00000007-974D-4DF0-826E-5BA91782A45E}"/>
            </c:ext>
          </c:extLst>
        </c:ser>
        <c:ser>
          <c:idx val="3"/>
          <c:order val="3"/>
          <c:tx>
            <c:strRef>
              <c:f>'2018 calculations'!$B$405</c:f>
              <c:strCache>
                <c:ptCount val="1"/>
                <c:pt idx="0">
                  <c:v>D</c:v>
                </c:pt>
              </c:strCache>
            </c:strRef>
          </c:tx>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calculations'!$C$401:$E$401</c:f>
              <c:strCache>
                <c:ptCount val="3"/>
                <c:pt idx="0">
                  <c:v>April 2017</c:v>
                </c:pt>
                <c:pt idx="1">
                  <c:v>Nov 2017</c:v>
                </c:pt>
                <c:pt idx="2">
                  <c:v>May 2018</c:v>
                </c:pt>
              </c:strCache>
            </c:strRef>
          </c:cat>
          <c:val>
            <c:numRef>
              <c:f>'2018 calculations'!$C$405:$E$405</c:f>
              <c:numCache>
                <c:formatCode>0%</c:formatCode>
                <c:ptCount val="3"/>
                <c:pt idx="0">
                  <c:v>0.18155619596541786</c:v>
                </c:pt>
                <c:pt idx="1">
                  <c:v>0.14121037463976946</c:v>
                </c:pt>
                <c:pt idx="2">
                  <c:v>9.8265895953757232E-2</c:v>
                </c:pt>
              </c:numCache>
            </c:numRef>
          </c:val>
          <c:extLst>
            <c:ext xmlns:c16="http://schemas.microsoft.com/office/drawing/2014/chart" uri="{C3380CC4-5D6E-409C-BE32-E72D297353CC}">
              <c16:uniqueId val="{00000008-974D-4DF0-826E-5BA91782A45E}"/>
            </c:ext>
          </c:extLst>
        </c:ser>
        <c:ser>
          <c:idx val="4"/>
          <c:order val="4"/>
          <c:tx>
            <c:strRef>
              <c:f>'2018 calculations'!$B$406</c:f>
              <c:strCache>
                <c:ptCount val="1"/>
                <c:pt idx="0">
                  <c:v>E</c:v>
                </c:pt>
              </c:strCache>
            </c:strRef>
          </c:tx>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'2018 calculations'!$C$401:$E$401</c:f>
              <c:strCache>
                <c:ptCount val="3"/>
                <c:pt idx="0">
                  <c:v>April 2017</c:v>
                </c:pt>
                <c:pt idx="1">
                  <c:v>Nov 2017</c:v>
                </c:pt>
                <c:pt idx="2">
                  <c:v>May 2018</c:v>
                </c:pt>
              </c:strCache>
            </c:strRef>
          </c:cat>
          <c:val>
            <c:numRef>
              <c:f>'2018 calculations'!$C$406:$E$406</c:f>
              <c:numCache>
                <c:formatCode>0%</c:formatCode>
                <c:ptCount val="3"/>
                <c:pt idx="0">
                  <c:v>0.23631123919308358</c:v>
                </c:pt>
                <c:pt idx="1">
                  <c:v>0.1239193083573487</c:v>
                </c:pt>
                <c:pt idx="2">
                  <c:v>7.8034682080924858E-2</c:v>
                </c:pt>
              </c:numCache>
            </c:numRef>
          </c:val>
          <c:extLst>
            <c:ext xmlns:c16="http://schemas.microsoft.com/office/drawing/2014/chart" uri="{C3380CC4-5D6E-409C-BE32-E72D297353CC}">
              <c16:uniqueId val="{00000009-974D-4DF0-826E-5BA91782A45E}"/>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England S167 Intent</a:t>
            </a:r>
          </a:p>
        </c:rich>
      </c:tx>
      <c:layout>
        <c:manualLayout>
          <c:xMode val="edge"/>
          <c:yMode val="edge"/>
          <c:x val="0.27581652665164064"/>
          <c:y val="1.4911230909914603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8.0586034099948606E-2"/>
          <c:y val="0.13591130634169538"/>
          <c:w val="0.80592570910048889"/>
          <c:h val="0.70058479480570568"/>
        </c:manualLayout>
      </c:layout>
      <c:barChart>
        <c:barDir val="col"/>
        <c:grouping val="percentStacked"/>
        <c:varyColors val="0"/>
        <c:ser>
          <c:idx val="0"/>
          <c:order val="0"/>
          <c:tx>
            <c:strRef>
              <c:f>'2018 calculations'!$H$413</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3.8764529433820989E-3"/>
                  <c:y val="-6.7512459653666854E-2"/>
                </c:manualLayout>
              </c:layout>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24643410852713174"/>
                      <c:h val="0.1342486085343228"/>
                    </c:manualLayout>
                  </c15:layout>
                </c:ext>
                <c:ext xmlns:c16="http://schemas.microsoft.com/office/drawing/2014/chart" uri="{C3380CC4-5D6E-409C-BE32-E72D297353CC}">
                  <c16:uniqueId val="{00000000-C21E-4911-AC3A-9E467C5AAFFC}"/>
                </c:ext>
              </c:extLst>
            </c:dLbl>
            <c:spPr>
              <a:noFill/>
              <a:ln>
                <a:noFill/>
              </a:ln>
              <a:effectLst/>
            </c:spPr>
            <c:txPr>
              <a:bodyPr rot="0" spcFirstLastPara="1" vertOverflow="overflow" horzOverflow="overflow" vert="horz" wrap="square" lIns="38100" tIns="19050" rIns="38100" bIns="19050" anchor="t" anchorCtr="1">
                <a:spAutoFit/>
              </a:bodyPr>
              <a:lstStyle/>
              <a:p>
                <a:pPr>
                  <a:defRPr sz="12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calculations'!$I$412:$K$412</c:f>
              <c:strCache>
                <c:ptCount val="3"/>
                <c:pt idx="0">
                  <c:v>April 2017</c:v>
                </c:pt>
                <c:pt idx="1">
                  <c:v>Nov 2017</c:v>
                </c:pt>
                <c:pt idx="2">
                  <c:v>May 2018</c:v>
                </c:pt>
              </c:strCache>
            </c:strRef>
          </c:cat>
          <c:val>
            <c:numRef>
              <c:f>'2018 calculations'!$I$413:$K$413</c:f>
              <c:numCache>
                <c:formatCode>0%</c:formatCode>
                <c:ptCount val="3"/>
                <c:pt idx="0">
                  <c:v>0.44368600682593856</c:v>
                </c:pt>
                <c:pt idx="1">
                  <c:v>0.50511945392491464</c:v>
                </c:pt>
                <c:pt idx="2">
                  <c:v>0.47602739726027399</c:v>
                </c:pt>
              </c:numCache>
            </c:numRef>
          </c:val>
          <c:extLst>
            <c:ext xmlns:c16="http://schemas.microsoft.com/office/drawing/2014/chart" uri="{C3380CC4-5D6E-409C-BE32-E72D297353CC}">
              <c16:uniqueId val="{00000001-C21E-4911-AC3A-9E467C5AAFFC}"/>
            </c:ext>
          </c:extLst>
        </c:ser>
        <c:ser>
          <c:idx val="1"/>
          <c:order val="1"/>
          <c:tx>
            <c:strRef>
              <c:f>'2018 calculations'!$H$414</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'2018 calculations'!$I$412:$K$412</c:f>
              <c:strCache>
                <c:ptCount val="3"/>
                <c:pt idx="0">
                  <c:v>April 2017</c:v>
                </c:pt>
                <c:pt idx="1">
                  <c:v>Nov 2017</c:v>
                </c:pt>
                <c:pt idx="2">
                  <c:v>May 2018</c:v>
                </c:pt>
              </c:strCache>
            </c:strRef>
          </c:cat>
          <c:val>
            <c:numRef>
              <c:f>'2018 calculations'!$I$414:$K$414</c:f>
              <c:numCache>
                <c:formatCode>0%</c:formatCode>
                <c:ptCount val="3"/>
                <c:pt idx="0">
                  <c:v>0.55631399317406138</c:v>
                </c:pt>
                <c:pt idx="1">
                  <c:v>0.4948805460750853</c:v>
                </c:pt>
                <c:pt idx="2">
                  <c:v>0.52397260273972601</c:v>
                </c:pt>
              </c:numCache>
            </c:numRef>
          </c:val>
          <c:extLst>
            <c:ext xmlns:c16="http://schemas.microsoft.com/office/drawing/2014/chart" uri="{C3380CC4-5D6E-409C-BE32-E72D297353CC}">
              <c16:uniqueId val="{00000002-C21E-4911-AC3A-9E467C5AAFFC}"/>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out"/>
        <c:minorTickMark val="in"/>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England S167 Grade</a:t>
            </a:r>
          </a:p>
        </c:rich>
      </c:tx>
      <c:layout>
        <c:manualLayout>
          <c:xMode val="edge"/>
          <c:yMode val="edge"/>
          <c:x val="0.2687499062617173"/>
          <c:y val="1.646090534979424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1143960681385415"/>
          <c:y val="0.14338874307378244"/>
          <c:w val="0.81754515979620201"/>
          <c:h val="0.69715433718933284"/>
        </c:manualLayout>
      </c:layout>
      <c:barChart>
        <c:barDir val="col"/>
        <c:grouping val="percentStacked"/>
        <c:varyColors val="0"/>
        <c:ser>
          <c:idx val="0"/>
          <c:order val="0"/>
          <c:tx>
            <c:strRef>
              <c:f>'2018 calculations'!$B$413</c:f>
              <c:strCache>
                <c:ptCount val="1"/>
                <c:pt idx="0">
                  <c:v>A</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4.365028939892569E-17"/>
                  <c:y val="9.2679591521647002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447-4DCB-B9ED-DE466848BB82}"/>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calculations'!$C$412:$E$412</c:f>
              <c:strCache>
                <c:ptCount val="3"/>
                <c:pt idx="0">
                  <c:v>April 2017</c:v>
                </c:pt>
                <c:pt idx="1">
                  <c:v>Nov 2017</c:v>
                </c:pt>
                <c:pt idx="2">
                  <c:v>May 2018</c:v>
                </c:pt>
              </c:strCache>
            </c:strRef>
          </c:cat>
          <c:val>
            <c:numRef>
              <c:f>'2018 calculations'!$C$413:$E$413</c:f>
              <c:numCache>
                <c:formatCode>0%</c:formatCode>
                <c:ptCount val="3"/>
                <c:pt idx="0">
                  <c:v>0.11604095563139932</c:v>
                </c:pt>
                <c:pt idx="1">
                  <c:v>0.34470989761092152</c:v>
                </c:pt>
                <c:pt idx="2">
                  <c:v>0.47602739726027399</c:v>
                </c:pt>
              </c:numCache>
            </c:numRef>
          </c:val>
          <c:extLst>
            <c:ext xmlns:c16="http://schemas.microsoft.com/office/drawing/2014/chart" uri="{C3380CC4-5D6E-409C-BE32-E72D297353CC}">
              <c16:uniqueId val="{00000000-6447-4DCB-B9ED-DE466848BB82}"/>
            </c:ext>
          </c:extLst>
        </c:ser>
        <c:ser>
          <c:idx val="1"/>
          <c:order val="1"/>
          <c:tx>
            <c:strRef>
              <c:f>'2018 calculations'!$B$414</c:f>
              <c:strCache>
                <c:ptCount val="1"/>
                <c:pt idx="0">
                  <c:v>B</c:v>
                </c:pt>
              </c:strCache>
            </c:strRef>
          </c:tx>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1"/>
              <c:layout>
                <c:manualLayout>
                  <c:x val="9.5238095238095247E-3"/>
                  <c:y val="-1.6612525944717262E-2"/>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447-4DCB-B9ED-DE466848BB82}"/>
                </c:ext>
              </c:extLst>
            </c:dLbl>
            <c:dLbl>
              <c:idx val="2"/>
              <c:delete val="1"/>
              <c:extLst>
                <c:ext xmlns:c15="http://schemas.microsoft.com/office/drawing/2012/chart" uri="{CE6537A1-D6FC-4f65-9D91-7224C49458BB}"/>
                <c:ext xmlns:c16="http://schemas.microsoft.com/office/drawing/2014/chart" uri="{C3380CC4-5D6E-409C-BE32-E72D297353CC}">
                  <c16:uniqueId val="{00000001-6447-4DCB-B9ED-DE466848BB8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calculations'!$C$412:$E$412</c:f>
              <c:strCache>
                <c:ptCount val="3"/>
                <c:pt idx="0">
                  <c:v>April 2017</c:v>
                </c:pt>
                <c:pt idx="1">
                  <c:v>Nov 2017</c:v>
                </c:pt>
                <c:pt idx="2">
                  <c:v>May 2018</c:v>
                </c:pt>
              </c:strCache>
            </c:strRef>
          </c:cat>
          <c:val>
            <c:numRef>
              <c:f>'2018 calculations'!$C$414:$E$414</c:f>
              <c:numCache>
                <c:formatCode>0%</c:formatCode>
                <c:ptCount val="3"/>
                <c:pt idx="0">
                  <c:v>0.32764505119453924</c:v>
                </c:pt>
                <c:pt idx="1">
                  <c:v>0.16040955631399317</c:v>
                </c:pt>
                <c:pt idx="2">
                  <c:v>0</c:v>
                </c:pt>
              </c:numCache>
            </c:numRef>
          </c:val>
          <c:extLst>
            <c:ext xmlns:c16="http://schemas.microsoft.com/office/drawing/2014/chart" uri="{C3380CC4-5D6E-409C-BE32-E72D297353CC}">
              <c16:uniqueId val="{00000002-6447-4DCB-B9ED-DE466848BB82}"/>
            </c:ext>
          </c:extLst>
        </c:ser>
        <c:ser>
          <c:idx val="2"/>
          <c:order val="2"/>
          <c:tx>
            <c:strRef>
              <c:f>'2018 calculations'!$B$415</c:f>
              <c:strCache>
                <c:ptCount val="1"/>
                <c:pt idx="0">
                  <c:v>C</c:v>
                </c:pt>
              </c:strCache>
            </c:strRef>
          </c:tx>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calculations'!$C$412:$E$412</c:f>
              <c:strCache>
                <c:ptCount val="3"/>
                <c:pt idx="0">
                  <c:v>April 2017</c:v>
                </c:pt>
                <c:pt idx="1">
                  <c:v>Nov 2017</c:v>
                </c:pt>
                <c:pt idx="2">
                  <c:v>May 2018</c:v>
                </c:pt>
              </c:strCache>
            </c:strRef>
          </c:cat>
          <c:val>
            <c:numRef>
              <c:f>'2018 calculations'!$C$415:$E$415</c:f>
              <c:numCache>
                <c:formatCode>0%</c:formatCode>
                <c:ptCount val="3"/>
                <c:pt idx="0">
                  <c:v>0.15358361774744028</c:v>
                </c:pt>
                <c:pt idx="1">
                  <c:v>0.23208191126279865</c:v>
                </c:pt>
                <c:pt idx="2">
                  <c:v>0.35273972602739728</c:v>
                </c:pt>
              </c:numCache>
            </c:numRef>
          </c:val>
          <c:extLst>
            <c:ext xmlns:c16="http://schemas.microsoft.com/office/drawing/2014/chart" uri="{C3380CC4-5D6E-409C-BE32-E72D297353CC}">
              <c16:uniqueId val="{00000003-6447-4DCB-B9ED-DE466848BB82}"/>
            </c:ext>
          </c:extLst>
        </c:ser>
        <c:ser>
          <c:idx val="3"/>
          <c:order val="3"/>
          <c:tx>
            <c:strRef>
              <c:f>'2018 calculations'!$B$416</c:f>
              <c:strCache>
                <c:ptCount val="1"/>
                <c:pt idx="0">
                  <c:v>D</c:v>
                </c:pt>
              </c:strCache>
            </c:strRef>
          </c:tx>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calculations'!$C$412:$E$412</c:f>
              <c:strCache>
                <c:ptCount val="3"/>
                <c:pt idx="0">
                  <c:v>April 2017</c:v>
                </c:pt>
                <c:pt idx="1">
                  <c:v>Nov 2017</c:v>
                </c:pt>
                <c:pt idx="2">
                  <c:v>May 2018</c:v>
                </c:pt>
              </c:strCache>
            </c:strRef>
          </c:cat>
          <c:val>
            <c:numRef>
              <c:f>'2018 calculations'!$C$416:$E$416</c:f>
              <c:numCache>
                <c:formatCode>0%</c:formatCode>
                <c:ptCount val="3"/>
                <c:pt idx="0">
                  <c:v>0.16723549488054607</c:v>
                </c:pt>
                <c:pt idx="1">
                  <c:v>0.12627986348122866</c:v>
                </c:pt>
                <c:pt idx="2">
                  <c:v>9.2465753424657529E-2</c:v>
                </c:pt>
              </c:numCache>
            </c:numRef>
          </c:val>
          <c:extLst>
            <c:ext xmlns:c16="http://schemas.microsoft.com/office/drawing/2014/chart" uri="{C3380CC4-5D6E-409C-BE32-E72D297353CC}">
              <c16:uniqueId val="{00000004-6447-4DCB-B9ED-DE466848BB82}"/>
            </c:ext>
          </c:extLst>
        </c:ser>
        <c:ser>
          <c:idx val="4"/>
          <c:order val="4"/>
          <c:tx>
            <c:strRef>
              <c:f>'2018 calculations'!$B$417</c:f>
              <c:strCache>
                <c:ptCount val="1"/>
                <c:pt idx="0">
                  <c:v>E</c:v>
                </c:pt>
              </c:strCache>
            </c:strRef>
          </c:tx>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calculations'!$C$412:$E$412</c:f>
              <c:strCache>
                <c:ptCount val="3"/>
                <c:pt idx="0">
                  <c:v>April 2017</c:v>
                </c:pt>
                <c:pt idx="1">
                  <c:v>Nov 2017</c:v>
                </c:pt>
                <c:pt idx="2">
                  <c:v>May 2018</c:v>
                </c:pt>
              </c:strCache>
            </c:strRef>
          </c:cat>
          <c:val>
            <c:numRef>
              <c:f>'2018 calculations'!$C$417:$E$417</c:f>
              <c:numCache>
                <c:formatCode>0%</c:formatCode>
                <c:ptCount val="3"/>
                <c:pt idx="0">
                  <c:v>0.23549488054607509</c:v>
                </c:pt>
                <c:pt idx="1">
                  <c:v>0.13651877133105803</c:v>
                </c:pt>
                <c:pt idx="2">
                  <c:v>7.8767123287671229E-2</c:v>
                </c:pt>
              </c:numCache>
            </c:numRef>
          </c:val>
          <c:extLst>
            <c:ext xmlns:c16="http://schemas.microsoft.com/office/drawing/2014/chart" uri="{C3380CC4-5D6E-409C-BE32-E72D297353CC}">
              <c16:uniqueId val="{00000005-6447-4DCB-B9ED-DE466848BB82}"/>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out"/>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Scotland S167 Intent</a:t>
            </a:r>
          </a:p>
        </c:rich>
      </c:tx>
      <c:layout>
        <c:manualLayout>
          <c:xMode val="edge"/>
          <c:yMode val="edge"/>
          <c:x val="0.27032951438982755"/>
          <c:y val="1.4911461728324518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8.0586034099948606E-2"/>
          <c:y val="0.14697117217194325"/>
          <c:w val="0.83882793180010284"/>
          <c:h val="0.70860696354864361"/>
        </c:manualLayout>
      </c:layout>
      <c:barChart>
        <c:barDir val="col"/>
        <c:grouping val="percentStacked"/>
        <c:varyColors val="0"/>
        <c:ser>
          <c:idx val="0"/>
          <c:order val="0"/>
          <c:tx>
            <c:strRef>
              <c:f>'2018 calculations'!$H$423</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0"/>
                  <c:y val="6.3066183117150834E-3"/>
                </c:manualLayout>
              </c:layout>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2E9-4ACF-9375-6B7EF291713F}"/>
                </c:ext>
              </c:extLst>
            </c:dLbl>
            <c:spPr>
              <a:noFill/>
              <a:ln>
                <a:noFill/>
              </a:ln>
              <a:effectLst/>
            </c:spPr>
            <c:txPr>
              <a:bodyPr rot="0" spcFirstLastPara="1" vertOverflow="overflow" horzOverflow="overflow" vert="horz" wrap="square" lIns="38100" tIns="19050" rIns="38100" bIns="19050" anchor="t" anchorCtr="1">
                <a:spAutoFit/>
              </a:bodyPr>
              <a:lstStyle/>
              <a:p>
                <a:pPr>
                  <a:defRPr sz="12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calculations'!$I$422:$K$422</c:f>
              <c:strCache>
                <c:ptCount val="3"/>
                <c:pt idx="0">
                  <c:v>April 2017</c:v>
                </c:pt>
                <c:pt idx="1">
                  <c:v>Nov 2017</c:v>
                </c:pt>
                <c:pt idx="2">
                  <c:v>May 2018</c:v>
                </c:pt>
              </c:strCache>
            </c:strRef>
          </c:cat>
          <c:val>
            <c:numRef>
              <c:f>'2018 calculations'!$I$423:$K$423</c:f>
              <c:numCache>
                <c:formatCode>0%</c:formatCode>
                <c:ptCount val="3"/>
                <c:pt idx="0">
                  <c:v>0.25</c:v>
                </c:pt>
                <c:pt idx="1">
                  <c:v>0.28125</c:v>
                </c:pt>
                <c:pt idx="2">
                  <c:v>0.34375</c:v>
                </c:pt>
              </c:numCache>
            </c:numRef>
          </c:val>
          <c:extLst>
            <c:ext xmlns:c16="http://schemas.microsoft.com/office/drawing/2014/chart" uri="{C3380CC4-5D6E-409C-BE32-E72D297353CC}">
              <c16:uniqueId val="{00000000-72E9-4ACF-9375-6B7EF291713F}"/>
            </c:ext>
          </c:extLst>
        </c:ser>
        <c:ser>
          <c:idx val="1"/>
          <c:order val="1"/>
          <c:tx>
            <c:strRef>
              <c:f>'2018 calculations'!$H$424</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'2018 calculations'!$I$422:$K$422</c:f>
              <c:strCache>
                <c:ptCount val="3"/>
                <c:pt idx="0">
                  <c:v>April 2017</c:v>
                </c:pt>
                <c:pt idx="1">
                  <c:v>Nov 2017</c:v>
                </c:pt>
                <c:pt idx="2">
                  <c:v>May 2018</c:v>
                </c:pt>
              </c:strCache>
            </c:strRef>
          </c:cat>
          <c:val>
            <c:numRef>
              <c:f>'2018 calculations'!$I$424:$K$424</c:f>
              <c:numCache>
                <c:formatCode>0%</c:formatCode>
                <c:ptCount val="3"/>
                <c:pt idx="0">
                  <c:v>0.75</c:v>
                </c:pt>
                <c:pt idx="1">
                  <c:v>0.71875</c:v>
                </c:pt>
                <c:pt idx="2">
                  <c:v>0.65625</c:v>
                </c:pt>
              </c:numCache>
            </c:numRef>
          </c:val>
          <c:extLst>
            <c:ext xmlns:c16="http://schemas.microsoft.com/office/drawing/2014/chart" uri="{C3380CC4-5D6E-409C-BE32-E72D297353CC}">
              <c16:uniqueId val="{00000001-72E9-4ACF-9375-6B7EF291713F}"/>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out"/>
        <c:minorTickMark val="in"/>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Scotland S167 Grade</a:t>
            </a:r>
          </a:p>
        </c:rich>
      </c:tx>
      <c:layout>
        <c:manualLayout>
          <c:xMode val="edge"/>
          <c:yMode val="edge"/>
          <c:x val="0.24287051307198701"/>
          <c:y val="1.6671297582661851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16507860005043853"/>
          <c:y val="0.14061514363274244"/>
          <c:w val="0.76686225609699155"/>
          <c:h val="0.70127366414107406"/>
        </c:manualLayout>
      </c:layout>
      <c:barChart>
        <c:barDir val="col"/>
        <c:grouping val="percentStacked"/>
        <c:varyColors val="0"/>
        <c:ser>
          <c:idx val="0"/>
          <c:order val="0"/>
          <c:tx>
            <c:strRef>
              <c:f>'2018 calculations'!$B$423</c:f>
              <c:strCache>
                <c:ptCount val="1"/>
                <c:pt idx="0">
                  <c:v>A</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6.6006600660066615E-3"/>
                  <c:y val="2.2105570137066202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A10-4AE5-BA31-71EF654BA3D0}"/>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calculations'!$C$422:$E$422</c:f>
              <c:strCache>
                <c:ptCount val="3"/>
                <c:pt idx="0">
                  <c:v>April 2017</c:v>
                </c:pt>
                <c:pt idx="1">
                  <c:v>Nov 2017</c:v>
                </c:pt>
                <c:pt idx="2">
                  <c:v>May 2018</c:v>
                </c:pt>
              </c:strCache>
            </c:strRef>
          </c:cat>
          <c:val>
            <c:numRef>
              <c:f>'2018 calculations'!$C$423:$E$423</c:f>
              <c:numCache>
                <c:formatCode>0%</c:formatCode>
                <c:ptCount val="3"/>
                <c:pt idx="0">
                  <c:v>3.125E-2</c:v>
                </c:pt>
                <c:pt idx="1">
                  <c:v>0.21875</c:v>
                </c:pt>
                <c:pt idx="2">
                  <c:v>0.34375</c:v>
                </c:pt>
              </c:numCache>
            </c:numRef>
          </c:val>
          <c:extLst>
            <c:ext xmlns:c16="http://schemas.microsoft.com/office/drawing/2014/chart" uri="{C3380CC4-5D6E-409C-BE32-E72D297353CC}">
              <c16:uniqueId val="{00000001-1A10-4AE5-BA31-71EF654BA3D0}"/>
            </c:ext>
          </c:extLst>
        </c:ser>
        <c:ser>
          <c:idx val="1"/>
          <c:order val="1"/>
          <c:tx>
            <c:strRef>
              <c:f>'2018 calculations'!$B$424</c:f>
              <c:strCache>
                <c:ptCount val="1"/>
                <c:pt idx="0">
                  <c:v>B</c:v>
                </c:pt>
              </c:strCache>
            </c:strRef>
          </c:tx>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1"/>
              <c:layout>
                <c:manualLayout>
                  <c:x val="0"/>
                  <c:y val="5.6358612300431976E-4"/>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A10-4AE5-BA31-71EF654BA3D0}"/>
                </c:ext>
              </c:extLst>
            </c:dLbl>
            <c:dLbl>
              <c:idx val="2"/>
              <c:delete val="1"/>
              <c:extLst>
                <c:ext xmlns:c15="http://schemas.microsoft.com/office/drawing/2012/chart" uri="{CE6537A1-D6FC-4f65-9D91-7224C49458BB}"/>
                <c:ext xmlns:c16="http://schemas.microsoft.com/office/drawing/2014/chart" uri="{C3380CC4-5D6E-409C-BE32-E72D297353CC}">
                  <c16:uniqueId val="{00000002-1A10-4AE5-BA31-71EF654BA3D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calculations'!$C$422:$E$422</c:f>
              <c:strCache>
                <c:ptCount val="3"/>
                <c:pt idx="0">
                  <c:v>April 2017</c:v>
                </c:pt>
                <c:pt idx="1">
                  <c:v>Nov 2017</c:v>
                </c:pt>
                <c:pt idx="2">
                  <c:v>May 2018</c:v>
                </c:pt>
              </c:strCache>
            </c:strRef>
          </c:cat>
          <c:val>
            <c:numRef>
              <c:f>'2018 calculations'!$C$424:$E$424</c:f>
              <c:numCache>
                <c:formatCode>0%</c:formatCode>
                <c:ptCount val="3"/>
                <c:pt idx="0">
                  <c:v>0.21875</c:v>
                </c:pt>
                <c:pt idx="1">
                  <c:v>6.25E-2</c:v>
                </c:pt>
                <c:pt idx="2">
                  <c:v>0</c:v>
                </c:pt>
              </c:numCache>
            </c:numRef>
          </c:val>
          <c:extLst>
            <c:ext xmlns:c16="http://schemas.microsoft.com/office/drawing/2014/chart" uri="{C3380CC4-5D6E-409C-BE32-E72D297353CC}">
              <c16:uniqueId val="{00000003-1A10-4AE5-BA31-71EF654BA3D0}"/>
            </c:ext>
          </c:extLst>
        </c:ser>
        <c:ser>
          <c:idx val="2"/>
          <c:order val="2"/>
          <c:tx>
            <c:strRef>
              <c:f>'2018 calculations'!$B$425</c:f>
              <c:strCache>
                <c:ptCount val="1"/>
                <c:pt idx="0">
                  <c:v>C</c:v>
                </c:pt>
              </c:strCache>
            </c:strRef>
          </c:tx>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calculations'!$C$422:$E$422</c:f>
              <c:strCache>
                <c:ptCount val="3"/>
                <c:pt idx="0">
                  <c:v>April 2017</c:v>
                </c:pt>
                <c:pt idx="1">
                  <c:v>Nov 2017</c:v>
                </c:pt>
                <c:pt idx="2">
                  <c:v>May 2018</c:v>
                </c:pt>
              </c:strCache>
            </c:strRef>
          </c:cat>
          <c:val>
            <c:numRef>
              <c:f>'2018 calculations'!$C$425:$E$425</c:f>
              <c:numCache>
                <c:formatCode>0%</c:formatCode>
                <c:ptCount val="3"/>
                <c:pt idx="0">
                  <c:v>0.1875</c:v>
                </c:pt>
                <c:pt idx="1">
                  <c:v>0.25</c:v>
                </c:pt>
                <c:pt idx="2">
                  <c:v>0.3125</c:v>
                </c:pt>
              </c:numCache>
            </c:numRef>
          </c:val>
          <c:extLst>
            <c:ext xmlns:c16="http://schemas.microsoft.com/office/drawing/2014/chart" uri="{C3380CC4-5D6E-409C-BE32-E72D297353CC}">
              <c16:uniqueId val="{00000004-1A10-4AE5-BA31-71EF654BA3D0}"/>
            </c:ext>
          </c:extLst>
        </c:ser>
        <c:ser>
          <c:idx val="3"/>
          <c:order val="3"/>
          <c:tx>
            <c:strRef>
              <c:f>'2018 calculations'!$B$426</c:f>
              <c:strCache>
                <c:ptCount val="1"/>
                <c:pt idx="0">
                  <c:v>D</c:v>
                </c:pt>
              </c:strCache>
            </c:strRef>
          </c:tx>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calculations'!$C$422:$E$422</c:f>
              <c:strCache>
                <c:ptCount val="3"/>
                <c:pt idx="0">
                  <c:v>April 2017</c:v>
                </c:pt>
                <c:pt idx="1">
                  <c:v>Nov 2017</c:v>
                </c:pt>
                <c:pt idx="2">
                  <c:v>May 2018</c:v>
                </c:pt>
              </c:strCache>
            </c:strRef>
          </c:cat>
          <c:val>
            <c:numRef>
              <c:f>'2018 calculations'!$C$426:$E$426</c:f>
              <c:numCache>
                <c:formatCode>0%</c:formatCode>
                <c:ptCount val="3"/>
                <c:pt idx="0">
                  <c:v>0.3125</c:v>
                </c:pt>
                <c:pt idx="1">
                  <c:v>0.375</c:v>
                </c:pt>
                <c:pt idx="2">
                  <c:v>0.21875</c:v>
                </c:pt>
              </c:numCache>
            </c:numRef>
          </c:val>
          <c:extLst>
            <c:ext xmlns:c16="http://schemas.microsoft.com/office/drawing/2014/chart" uri="{C3380CC4-5D6E-409C-BE32-E72D297353CC}">
              <c16:uniqueId val="{00000005-1A10-4AE5-BA31-71EF654BA3D0}"/>
            </c:ext>
          </c:extLst>
        </c:ser>
        <c:ser>
          <c:idx val="4"/>
          <c:order val="4"/>
          <c:tx>
            <c:strRef>
              <c:f>'2018 calculations'!$B$427</c:f>
              <c:strCache>
                <c:ptCount val="1"/>
                <c:pt idx="0">
                  <c:v>E</c:v>
                </c:pt>
              </c:strCache>
            </c:strRef>
          </c:tx>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calculations'!$C$422:$E$422</c:f>
              <c:strCache>
                <c:ptCount val="3"/>
                <c:pt idx="0">
                  <c:v>April 2017</c:v>
                </c:pt>
                <c:pt idx="1">
                  <c:v>Nov 2017</c:v>
                </c:pt>
                <c:pt idx="2">
                  <c:v>May 2018</c:v>
                </c:pt>
              </c:strCache>
            </c:strRef>
          </c:cat>
          <c:val>
            <c:numRef>
              <c:f>'2018 calculations'!$C$427:$E$427</c:f>
              <c:numCache>
                <c:formatCode>0%</c:formatCode>
                <c:ptCount val="3"/>
                <c:pt idx="0">
                  <c:v>0.25</c:v>
                </c:pt>
                <c:pt idx="1">
                  <c:v>9.375E-2</c:v>
                </c:pt>
                <c:pt idx="2">
                  <c:v>0.125</c:v>
                </c:pt>
              </c:numCache>
            </c:numRef>
          </c:val>
          <c:extLst>
            <c:ext xmlns:c16="http://schemas.microsoft.com/office/drawing/2014/chart" uri="{C3380CC4-5D6E-409C-BE32-E72D297353CC}">
              <c16:uniqueId val="{00000006-1A10-4AE5-BA31-71EF654BA3D0}"/>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Wales S167 Intent</a:t>
            </a:r>
          </a:p>
        </c:rich>
      </c:tx>
      <c:layout>
        <c:manualLayout>
          <c:xMode val="edge"/>
          <c:yMode val="edge"/>
          <c:x val="0.27032951438982755"/>
          <c:y val="1.4911461728324518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8.0586034099948606E-2"/>
          <c:y val="0.14237245639277335"/>
          <c:w val="0.83882793180010284"/>
          <c:h val="0.68826458830950676"/>
        </c:manualLayout>
      </c:layout>
      <c:barChart>
        <c:barDir val="col"/>
        <c:grouping val="percentStacked"/>
        <c:varyColors val="0"/>
        <c:ser>
          <c:idx val="0"/>
          <c:order val="0"/>
          <c:tx>
            <c:strRef>
              <c:f>'2018 calculations'!$H$433</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spPr>
              <a:noFill/>
              <a:ln>
                <a:noFill/>
              </a:ln>
              <a:effectLst/>
            </c:spPr>
            <c:txPr>
              <a:bodyPr rot="0" spcFirstLastPara="1" vertOverflow="overflow" horzOverflow="overflow" vert="horz" wrap="square" lIns="38100" tIns="19050" rIns="38100" bIns="19050" anchor="t" anchorCtr="1">
                <a:spAutoFit/>
              </a:bodyPr>
              <a:lstStyle/>
              <a:p>
                <a:pPr>
                  <a:defRPr sz="12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calculations'!$I$432:$K$432</c:f>
              <c:strCache>
                <c:ptCount val="3"/>
                <c:pt idx="0">
                  <c:v>April 2017</c:v>
                </c:pt>
                <c:pt idx="1">
                  <c:v>Nov 2017</c:v>
                </c:pt>
                <c:pt idx="2">
                  <c:v>May 2018</c:v>
                </c:pt>
              </c:strCache>
            </c:strRef>
          </c:cat>
          <c:val>
            <c:numRef>
              <c:f>'2018 calculations'!$I$433:$K$433</c:f>
              <c:numCache>
                <c:formatCode>0%</c:formatCode>
                <c:ptCount val="3"/>
                <c:pt idx="0">
                  <c:v>0.31818181818181818</c:v>
                </c:pt>
                <c:pt idx="1">
                  <c:v>0.72727272727272729</c:v>
                </c:pt>
                <c:pt idx="2">
                  <c:v>0.77272727272727271</c:v>
                </c:pt>
              </c:numCache>
            </c:numRef>
          </c:val>
          <c:extLst>
            <c:ext xmlns:c16="http://schemas.microsoft.com/office/drawing/2014/chart" uri="{C3380CC4-5D6E-409C-BE32-E72D297353CC}">
              <c16:uniqueId val="{00000000-C522-4155-B0DE-A38BB33574CD}"/>
            </c:ext>
          </c:extLst>
        </c:ser>
        <c:ser>
          <c:idx val="1"/>
          <c:order val="1"/>
          <c:tx>
            <c:strRef>
              <c:f>'2018 calculations'!$H$434</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'2018 calculations'!$I$432:$K$432</c:f>
              <c:strCache>
                <c:ptCount val="3"/>
                <c:pt idx="0">
                  <c:v>April 2017</c:v>
                </c:pt>
                <c:pt idx="1">
                  <c:v>Nov 2017</c:v>
                </c:pt>
                <c:pt idx="2">
                  <c:v>May 2018</c:v>
                </c:pt>
              </c:strCache>
            </c:strRef>
          </c:cat>
          <c:val>
            <c:numRef>
              <c:f>'2018 calculations'!$I$434:$K$434</c:f>
              <c:numCache>
                <c:formatCode>0%</c:formatCode>
                <c:ptCount val="3"/>
                <c:pt idx="0">
                  <c:v>0.68181818181818177</c:v>
                </c:pt>
                <c:pt idx="1">
                  <c:v>0.27272727272727271</c:v>
                </c:pt>
                <c:pt idx="2">
                  <c:v>0.22727272727272727</c:v>
                </c:pt>
              </c:numCache>
            </c:numRef>
          </c:val>
          <c:extLst>
            <c:ext xmlns:c16="http://schemas.microsoft.com/office/drawing/2014/chart" uri="{C3380CC4-5D6E-409C-BE32-E72D297353CC}">
              <c16:uniqueId val="{00000001-C522-4155-B0DE-A38BB33574CD}"/>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out"/>
        <c:minorTickMark val="in"/>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Wales</a:t>
            </a:r>
            <a:r>
              <a:rPr lang="en-US" baseline="0"/>
              <a:t> S167 Grade</a:t>
            </a:r>
            <a:endParaRPr lang="en-US"/>
          </a:p>
        </c:rich>
      </c:tx>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16862706821957149"/>
          <c:y val="0.15415034056055232"/>
          <c:w val="0.79250178477589006"/>
          <c:h val="0.66876390521193241"/>
        </c:manualLayout>
      </c:layout>
      <c:barChart>
        <c:barDir val="col"/>
        <c:grouping val="percentStacked"/>
        <c:varyColors val="0"/>
        <c:ser>
          <c:idx val="0"/>
          <c:order val="0"/>
          <c:tx>
            <c:strRef>
              <c:f>'2018 calculations'!$B$433</c:f>
              <c:strCache>
                <c:ptCount val="1"/>
                <c:pt idx="0">
                  <c:v>A</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calculations'!$C$432:$E$432</c:f>
              <c:strCache>
                <c:ptCount val="3"/>
                <c:pt idx="0">
                  <c:v>April 2017</c:v>
                </c:pt>
                <c:pt idx="1">
                  <c:v>Nov 2017</c:v>
                </c:pt>
                <c:pt idx="2">
                  <c:v>May 2018</c:v>
                </c:pt>
              </c:strCache>
            </c:strRef>
          </c:cat>
          <c:val>
            <c:numRef>
              <c:f>'2018 calculations'!$C$433:$E$433</c:f>
              <c:numCache>
                <c:formatCode>0%</c:formatCode>
                <c:ptCount val="3"/>
                <c:pt idx="0">
                  <c:v>0.18181818181818182</c:v>
                </c:pt>
                <c:pt idx="1">
                  <c:v>0.5</c:v>
                </c:pt>
                <c:pt idx="2">
                  <c:v>0.77272727272727271</c:v>
                </c:pt>
              </c:numCache>
            </c:numRef>
          </c:val>
          <c:extLst>
            <c:ext xmlns:c16="http://schemas.microsoft.com/office/drawing/2014/chart" uri="{C3380CC4-5D6E-409C-BE32-E72D297353CC}">
              <c16:uniqueId val="{00000000-9B94-49E1-9C98-07A73D0F5CCD}"/>
            </c:ext>
          </c:extLst>
        </c:ser>
        <c:ser>
          <c:idx val="1"/>
          <c:order val="1"/>
          <c:tx>
            <c:strRef>
              <c:f>'2018 calculations'!$B$434</c:f>
              <c:strCache>
                <c:ptCount val="1"/>
                <c:pt idx="0">
                  <c:v>B</c:v>
                </c:pt>
              </c:strCache>
            </c:strRef>
          </c:tx>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4.3702315965551348E-17"/>
                  <c:y val="-5.7589902914335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9B94-49E1-9C98-07A73D0F5CCD}"/>
                </c:ext>
              </c:extLst>
            </c:dLbl>
            <c:dLbl>
              <c:idx val="2"/>
              <c:delete val="1"/>
              <c:extLst>
                <c:ext xmlns:c15="http://schemas.microsoft.com/office/drawing/2012/chart" uri="{CE6537A1-D6FC-4f65-9D91-7224C49458BB}"/>
                <c:ext xmlns:c16="http://schemas.microsoft.com/office/drawing/2014/chart" uri="{C3380CC4-5D6E-409C-BE32-E72D297353CC}">
                  <c16:uniqueId val="{00000001-9B94-49E1-9C98-07A73D0F5CC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calculations'!$C$432:$E$432</c:f>
              <c:strCache>
                <c:ptCount val="3"/>
                <c:pt idx="0">
                  <c:v>April 2017</c:v>
                </c:pt>
                <c:pt idx="1">
                  <c:v>Nov 2017</c:v>
                </c:pt>
                <c:pt idx="2">
                  <c:v>May 2018</c:v>
                </c:pt>
              </c:strCache>
            </c:strRef>
          </c:cat>
          <c:val>
            <c:numRef>
              <c:f>'2018 calculations'!$C$434:$E$434</c:f>
              <c:numCache>
                <c:formatCode>0%</c:formatCode>
                <c:ptCount val="3"/>
                <c:pt idx="0">
                  <c:v>0.13636363636363635</c:v>
                </c:pt>
                <c:pt idx="1">
                  <c:v>0.22727272727272727</c:v>
                </c:pt>
                <c:pt idx="2">
                  <c:v>0</c:v>
                </c:pt>
              </c:numCache>
            </c:numRef>
          </c:val>
          <c:extLst>
            <c:ext xmlns:c16="http://schemas.microsoft.com/office/drawing/2014/chart" uri="{C3380CC4-5D6E-409C-BE32-E72D297353CC}">
              <c16:uniqueId val="{00000002-9B94-49E1-9C98-07A73D0F5CCD}"/>
            </c:ext>
          </c:extLst>
        </c:ser>
        <c:ser>
          <c:idx val="2"/>
          <c:order val="2"/>
          <c:tx>
            <c:strRef>
              <c:f>'2018 calculations'!$B$435</c:f>
              <c:strCache>
                <c:ptCount val="1"/>
                <c:pt idx="0">
                  <c:v>C</c:v>
                </c:pt>
              </c:strCache>
            </c:strRef>
          </c:tx>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calculations'!$C$432:$E$432</c:f>
              <c:strCache>
                <c:ptCount val="3"/>
                <c:pt idx="0">
                  <c:v>April 2017</c:v>
                </c:pt>
                <c:pt idx="1">
                  <c:v>Nov 2017</c:v>
                </c:pt>
                <c:pt idx="2">
                  <c:v>May 2018</c:v>
                </c:pt>
              </c:strCache>
            </c:strRef>
          </c:cat>
          <c:val>
            <c:numRef>
              <c:f>'2018 calculations'!$C$435:$E$435</c:f>
              <c:numCache>
                <c:formatCode>0%</c:formatCode>
                <c:ptCount val="3"/>
                <c:pt idx="0">
                  <c:v>0.27272727272727271</c:v>
                </c:pt>
                <c:pt idx="1">
                  <c:v>0.27272727272727271</c:v>
                </c:pt>
                <c:pt idx="2">
                  <c:v>0.22727272727272727</c:v>
                </c:pt>
              </c:numCache>
            </c:numRef>
          </c:val>
          <c:extLst>
            <c:ext xmlns:c16="http://schemas.microsoft.com/office/drawing/2014/chart" uri="{C3380CC4-5D6E-409C-BE32-E72D297353CC}">
              <c16:uniqueId val="{00000003-9B94-49E1-9C98-07A73D0F5CCD}"/>
            </c:ext>
          </c:extLst>
        </c:ser>
        <c:ser>
          <c:idx val="3"/>
          <c:order val="3"/>
          <c:tx>
            <c:strRef>
              <c:f>'2018 calculations'!$B$436</c:f>
              <c:strCache>
                <c:ptCount val="1"/>
                <c:pt idx="0">
                  <c:v>D</c:v>
                </c:pt>
              </c:strCache>
            </c:strRef>
          </c:tx>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9B94-49E1-9C98-07A73D0F5CCD}"/>
                </c:ext>
              </c:extLst>
            </c:dLbl>
            <c:dLbl>
              <c:idx val="2"/>
              <c:delete val="1"/>
              <c:extLst>
                <c:ext xmlns:c15="http://schemas.microsoft.com/office/drawing/2012/chart" uri="{CE6537A1-D6FC-4f65-9D91-7224C49458BB}"/>
                <c:ext xmlns:c16="http://schemas.microsoft.com/office/drawing/2014/chart" uri="{C3380CC4-5D6E-409C-BE32-E72D297353CC}">
                  <c16:uniqueId val="{00000005-9B94-49E1-9C98-07A73D0F5CC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calculations'!$C$432:$E$432</c:f>
              <c:strCache>
                <c:ptCount val="3"/>
                <c:pt idx="0">
                  <c:v>April 2017</c:v>
                </c:pt>
                <c:pt idx="1">
                  <c:v>Nov 2017</c:v>
                </c:pt>
                <c:pt idx="2">
                  <c:v>May 2018</c:v>
                </c:pt>
              </c:strCache>
            </c:strRef>
          </c:cat>
          <c:val>
            <c:numRef>
              <c:f>'2018 calculations'!$C$436:$E$436</c:f>
              <c:numCache>
                <c:formatCode>0%</c:formatCode>
                <c:ptCount val="3"/>
                <c:pt idx="0">
                  <c:v>0.18181818181818182</c:v>
                </c:pt>
                <c:pt idx="1">
                  <c:v>0</c:v>
                </c:pt>
                <c:pt idx="2">
                  <c:v>0</c:v>
                </c:pt>
              </c:numCache>
            </c:numRef>
          </c:val>
          <c:extLst>
            <c:ext xmlns:c16="http://schemas.microsoft.com/office/drawing/2014/chart" uri="{C3380CC4-5D6E-409C-BE32-E72D297353CC}">
              <c16:uniqueId val="{00000006-9B94-49E1-9C98-07A73D0F5CCD}"/>
            </c:ext>
          </c:extLst>
        </c:ser>
        <c:ser>
          <c:idx val="4"/>
          <c:order val="4"/>
          <c:tx>
            <c:strRef>
              <c:f>'2018 calculations'!$B$437</c:f>
              <c:strCache>
                <c:ptCount val="1"/>
                <c:pt idx="0">
                  <c:v>E</c:v>
                </c:pt>
              </c:strCache>
            </c:strRef>
          </c:tx>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9B94-49E1-9C98-07A73D0F5CCD}"/>
                </c:ext>
              </c:extLst>
            </c:dLbl>
            <c:dLbl>
              <c:idx val="2"/>
              <c:delete val="1"/>
              <c:extLst>
                <c:ext xmlns:c15="http://schemas.microsoft.com/office/drawing/2012/chart" uri="{CE6537A1-D6FC-4f65-9D91-7224C49458BB}"/>
                <c:ext xmlns:c16="http://schemas.microsoft.com/office/drawing/2014/chart" uri="{C3380CC4-5D6E-409C-BE32-E72D297353CC}">
                  <c16:uniqueId val="{00000008-9B94-49E1-9C98-07A73D0F5CC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calculations'!$C$432:$E$432</c:f>
              <c:strCache>
                <c:ptCount val="3"/>
                <c:pt idx="0">
                  <c:v>April 2017</c:v>
                </c:pt>
                <c:pt idx="1">
                  <c:v>Nov 2017</c:v>
                </c:pt>
                <c:pt idx="2">
                  <c:v>May 2018</c:v>
                </c:pt>
              </c:strCache>
            </c:strRef>
          </c:cat>
          <c:val>
            <c:numRef>
              <c:f>'2018 calculations'!$C$437:$E$437</c:f>
              <c:numCache>
                <c:formatCode>0%</c:formatCode>
                <c:ptCount val="3"/>
                <c:pt idx="0">
                  <c:v>0.22727272727272727</c:v>
                </c:pt>
                <c:pt idx="1">
                  <c:v>0</c:v>
                </c:pt>
                <c:pt idx="2">
                  <c:v>0</c:v>
                </c:pt>
              </c:numCache>
            </c:numRef>
          </c:val>
          <c:extLst>
            <c:ext xmlns:c16="http://schemas.microsoft.com/office/drawing/2014/chart" uri="{C3380CC4-5D6E-409C-BE32-E72D297353CC}">
              <c16:uniqueId val="{00000009-9B94-49E1-9C98-07A73D0F5CCD}"/>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r>
              <a:rPr lang="en-US">
                <a:solidFill>
                  <a:schemeClr val="tx1"/>
                </a:solidFill>
              </a:rPr>
              <a:t>Authorities' reasons for not implementing S167</a:t>
            </a:r>
          </a:p>
        </c:rich>
      </c:tx>
      <c:layout>
        <c:manualLayout>
          <c:xMode val="edge"/>
          <c:yMode val="edge"/>
          <c:x val="0.26788414334806082"/>
          <c:y val="4.2918454935622317E-2"/>
        </c:manualLayout>
      </c:layout>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4166046254527462"/>
          <c:y val="0.24324918612641236"/>
          <c:w val="0.45776891290650523"/>
          <c:h val="0.66700663490025125"/>
        </c:manualLayout>
      </c:layout>
      <c:pieChart>
        <c:varyColors val="1"/>
        <c:ser>
          <c:idx val="0"/>
          <c:order val="0"/>
          <c:tx>
            <c:strRef>
              <c:f>'Statistics 2018'!$C$109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8F8A-4CF2-80DA-1571547A5D28}"/>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8F8A-4CF2-80DA-1571547A5D28}"/>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8F8A-4CF2-80DA-1571547A5D28}"/>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8F8A-4CF2-80DA-1571547A5D28}"/>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8F8A-4CF2-80DA-1571547A5D28}"/>
              </c:ext>
            </c:extLst>
          </c:dPt>
          <c:dPt>
            <c:idx val="5"/>
            <c:bubble3D val="0"/>
            <c:spPr>
              <a:solidFill>
                <a:schemeClr val="accent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B-8F8A-4CF2-80DA-1571547A5D28}"/>
              </c:ext>
            </c:extLst>
          </c:dPt>
          <c:dPt>
            <c:idx val="6"/>
            <c:bubble3D val="0"/>
            <c:spPr>
              <a:solidFill>
                <a:schemeClr val="accent1">
                  <a:lumMod val="60000"/>
                </a:schemeClr>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D-8F8A-4CF2-80DA-1571547A5D28}"/>
              </c:ext>
            </c:extLst>
          </c:dPt>
          <c:dPt>
            <c:idx val="7"/>
            <c:bubble3D val="0"/>
            <c:spPr>
              <a:solidFill>
                <a:schemeClr val="accent2">
                  <a:lumMod val="60000"/>
                </a:schemeClr>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F-8F8A-4CF2-80DA-1571547A5D28}"/>
              </c:ext>
            </c:extLst>
          </c:dPt>
          <c:dPt>
            <c:idx val="8"/>
            <c:bubble3D val="0"/>
            <c:spPr>
              <a:solidFill>
                <a:schemeClr val="accent3">
                  <a:lumMod val="60000"/>
                </a:schemeClr>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11-8F8A-4CF2-80DA-1571547A5D28}"/>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A-4CF2-80DA-1571547A5D28}"/>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A-4CF2-80DA-1571547A5D28}"/>
                </c:ext>
              </c:extLst>
            </c:dLbl>
            <c:dLbl>
              <c:idx val="2"/>
              <c:layout>
                <c:manualLayout>
                  <c:x val="-2.0498434704639064E-4"/>
                  <c:y val="-1.6142050040355124E-3"/>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15:layout>
                    <c:manualLayout>
                      <c:w val="0.23538274066688822"/>
                      <c:h val="0.11606133979015336"/>
                    </c:manualLayout>
                  </c15:layout>
                </c:ext>
                <c:ext xmlns:c16="http://schemas.microsoft.com/office/drawing/2014/chart" uri="{C3380CC4-5D6E-409C-BE32-E72D297353CC}">
                  <c16:uniqueId val="{00000005-8F8A-4CF2-80DA-1571547A5D28}"/>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8A-4CF2-80DA-1571547A5D28}"/>
                </c:ext>
              </c:extLst>
            </c:dLbl>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8A-4CF2-80DA-1571547A5D28}"/>
                </c:ext>
              </c:extLst>
            </c:dLbl>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8A-4CF2-80DA-1571547A5D28}"/>
                </c:ext>
              </c:extLst>
            </c:dLbl>
            <c:dLbl>
              <c:idx val="6"/>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8A-4CF2-80DA-1571547A5D28}"/>
                </c:ext>
              </c:extLst>
            </c:dLbl>
            <c:dLbl>
              <c:idx val="7"/>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F8A-4CF2-80DA-1571547A5D28}"/>
                </c:ext>
              </c:extLst>
            </c:dLbl>
            <c:dLbl>
              <c:idx val="8"/>
              <c:layout>
                <c:manualLayout>
                  <c:x val="-3.9273441335297005E-3"/>
                  <c:y val="-2.002861230329041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F8A-4CF2-80DA-1571547A5D2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'Statistics 2018'!$B$110:$B$118</c:f>
              <c:strCache>
                <c:ptCount val="9"/>
                <c:pt idx="0">
                  <c:v>No Decision</c:v>
                </c:pt>
                <c:pt idx="1">
                  <c:v>Narrative Reason</c:v>
                </c:pt>
                <c:pt idx="2">
                  <c:v>Existing regulation</c:v>
                </c:pt>
                <c:pt idx="3">
                  <c:v>Resources</c:v>
                </c:pt>
                <c:pt idx="4">
                  <c:v>Few / No WAV</c:v>
                </c:pt>
                <c:pt idx="5">
                  <c:v>No Obligation</c:v>
                </c:pt>
                <c:pt idx="6">
                  <c:v>No Complaints</c:v>
                </c:pt>
                <c:pt idx="7">
                  <c:v>All Accessible</c:v>
                </c:pt>
                <c:pt idx="8">
                  <c:v>Contracts Only</c:v>
                </c:pt>
              </c:strCache>
            </c:strRef>
          </c:cat>
          <c:val>
            <c:numRef>
              <c:f>'Statistics 2018'!$C$110:$C$118</c:f>
              <c:numCache>
                <c:formatCode>0</c:formatCode>
                <c:ptCount val="9"/>
                <c:pt idx="0">
                  <c:v>26</c:v>
                </c:pt>
                <c:pt idx="1">
                  <c:v>9</c:v>
                </c:pt>
                <c:pt idx="2">
                  <c:v>9</c:v>
                </c:pt>
                <c:pt idx="3">
                  <c:v>8</c:v>
                </c:pt>
                <c:pt idx="4">
                  <c:v>7</c:v>
                </c:pt>
                <c:pt idx="5">
                  <c:v>7</c:v>
                </c:pt>
                <c:pt idx="6">
                  <c:v>6</c:v>
                </c:pt>
                <c:pt idx="7">
                  <c:v>3</c:v>
                </c:pt>
                <c:pt idx="8">
                  <c:v>2</c:v>
                </c:pt>
              </c:numCache>
            </c:numRef>
          </c:val>
          <c:extLst>
            <c:ext xmlns:c16="http://schemas.microsoft.com/office/drawing/2014/chart" uri="{C3380CC4-5D6E-409C-BE32-E72D297353CC}">
              <c16:uniqueId val="{00000012-8F8A-4CF2-80DA-1571547A5D28}"/>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2018!IntentEngland2018</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r>
              <a:rPr lang="en-US"/>
              <a:t>England S167 List</a:t>
            </a:r>
            <a:r>
              <a:rPr lang="en-US" baseline="0"/>
              <a:t> May 2018</a:t>
            </a:r>
          </a:p>
        </c:rich>
      </c:tx>
      <c:layout>
        <c:manualLayout>
          <c:xMode val="edge"/>
          <c:yMode val="edge"/>
          <c:x val="0.12911392405063291"/>
          <c:y val="0"/>
        </c:manualLayout>
      </c:layout>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2018'!$C$43</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3ECD-4639-B8D4-F4C1941F23D7}"/>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3ECD-4639-B8D4-F4C1941F23D7}"/>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3ECD-4639-B8D4-F4C1941F23D7}"/>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3ECD-4639-B8D4-F4C1941F23D7}"/>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3ECD-4639-B8D4-F4C1941F23D7}"/>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ECD-4639-B8D4-F4C1941F23D7}"/>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3ECD-4639-B8D4-F4C1941F23D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2018'!$B$44:$B$46</c:f>
              <c:strCache>
                <c:ptCount val="2"/>
                <c:pt idx="0">
                  <c:v>Yes</c:v>
                </c:pt>
                <c:pt idx="1">
                  <c:v>No</c:v>
                </c:pt>
              </c:strCache>
            </c:strRef>
          </c:cat>
          <c:val>
            <c:numRef>
              <c:f>'Statistics 2018'!$C$44:$C$46</c:f>
              <c:numCache>
                <c:formatCode>0</c:formatCode>
                <c:ptCount val="2"/>
                <c:pt idx="0">
                  <c:v>139</c:v>
                </c:pt>
                <c:pt idx="1">
                  <c:v>153</c:v>
                </c:pt>
              </c:numCache>
            </c:numRef>
          </c:val>
          <c:extLst>
            <c:ext xmlns:c16="http://schemas.microsoft.com/office/drawing/2014/chart" uri="{C3380CC4-5D6E-409C-BE32-E72D297353CC}">
              <c16:uniqueId val="{0000000A-3ECD-4639-B8D4-F4C1941F23D7}"/>
            </c:ext>
          </c:extLst>
        </c:ser>
        <c:ser>
          <c:idx val="1"/>
          <c:order val="1"/>
          <c:tx>
            <c:strRef>
              <c:f>'Statistics 2018'!$D$43</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3ECD-4639-B8D4-F4C1941F23D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3ECD-4639-B8D4-F4C1941F23D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3ECD-4639-B8D4-F4C1941F23D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3ECD-4639-B8D4-F4C1941F23D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3ECD-4639-B8D4-F4C1941F23D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3ECD-4639-B8D4-F4C1941F23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3ECD-4639-B8D4-F4C1941F23D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2018'!$B$44:$B$46</c:f>
              <c:strCache>
                <c:ptCount val="2"/>
                <c:pt idx="0">
                  <c:v>Yes</c:v>
                </c:pt>
                <c:pt idx="1">
                  <c:v>No</c:v>
                </c:pt>
              </c:strCache>
            </c:strRef>
          </c:cat>
          <c:val>
            <c:numRef>
              <c:f>'Statistics 2018'!$D$44:$D$46</c:f>
              <c:numCache>
                <c:formatCode>0%</c:formatCode>
                <c:ptCount val="2"/>
                <c:pt idx="0">
                  <c:v>0.47602739726027399</c:v>
                </c:pt>
                <c:pt idx="1">
                  <c:v>0.52397260273972601</c:v>
                </c:pt>
              </c:numCache>
            </c:numRef>
          </c:val>
          <c:extLst>
            <c:ext xmlns:c16="http://schemas.microsoft.com/office/drawing/2014/chart" uri="{C3380CC4-5D6E-409C-BE32-E72D297353CC}">
              <c16:uniqueId val="{00000015-3ECD-4639-B8D4-F4C1941F23D7}"/>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sz="1200" b="1" i="0" baseline="0">
                <a:effectLst/>
              </a:rPr>
              <a:t>Authorities' Approach to Department for Transport Statutory Guidance</a:t>
            </a:r>
          </a:p>
        </c:rich>
      </c:tx>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12658873772383636"/>
          <c:y val="0.11767088607594935"/>
          <c:w val="0.84494896762032379"/>
          <c:h val="0.65483105751021631"/>
        </c:manualLayout>
      </c:layout>
      <c:barChart>
        <c:barDir val="col"/>
        <c:grouping val="percentStacked"/>
        <c:varyColors val="0"/>
        <c:ser>
          <c:idx val="0"/>
          <c:order val="0"/>
          <c:tx>
            <c:strRef>
              <c:f>'2018 calculations'!$B$441</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2"/>
              <c:layout>
                <c:manualLayout>
                  <c:x val="-4.4182848447796788E-17"/>
                  <c:y val="-7.8773333333333431E-2"/>
                </c:manualLayout>
              </c:layout>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CDD-46CB-87B1-48DDA4EC5FFE}"/>
                </c:ext>
              </c:extLst>
            </c:dLbl>
            <c:dLbl>
              <c:idx val="4"/>
              <c:layout>
                <c:manualLayout>
                  <c:x val="0"/>
                  <c:y val="-1.5601049868766404E-4"/>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CDD-46CB-87B1-48DDA4EC5FFE}"/>
                </c:ext>
              </c:extLst>
            </c:dLbl>
            <c:dLbl>
              <c:idx val="5"/>
              <c:layout>
                <c:manualLayout>
                  <c:x val="1.2082766378854035E-3"/>
                  <c:y val="-3.7833104723304764E-4"/>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CDD-46CB-87B1-48DDA4EC5FFE}"/>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'2018 calculations'!$C$440:$K$440</c:f>
              <c:strCache>
                <c:ptCount val="6"/>
                <c:pt idx="0">
                  <c:v>Compliant 
List</c:v>
                </c:pt>
                <c:pt idx="1">
                  <c:v>Driver 
Guidance</c:v>
                </c:pt>
                <c:pt idx="2">
                  <c:v>Meter 
Policy</c:v>
                </c:pt>
                <c:pt idx="3">
                  <c:v>Ref 
Wch</c:v>
                </c:pt>
                <c:pt idx="4">
                  <c:v>Chair 
Size</c:v>
                </c:pt>
                <c:pt idx="5">
                  <c:v>W/ch Transfer 
Lists</c:v>
                </c:pt>
              </c:strCache>
            </c:strRef>
          </c:cat>
          <c:val>
            <c:numRef>
              <c:f>'2018 calculations'!$C$441:$K$441</c:f>
              <c:numCache>
                <c:formatCode>0%</c:formatCode>
                <c:ptCount val="6"/>
                <c:pt idx="0">
                  <c:v>0.82035928143712578</c:v>
                </c:pt>
                <c:pt idx="1">
                  <c:v>0.8493975903614458</c:v>
                </c:pt>
                <c:pt idx="2">
                  <c:v>0.45508982035928142</c:v>
                </c:pt>
                <c:pt idx="3">
                  <c:v>0.88622754491017963</c:v>
                </c:pt>
                <c:pt idx="4">
                  <c:v>4.1916167664670656E-2</c:v>
                </c:pt>
                <c:pt idx="5">
                  <c:v>3.4782608695652174E-2</c:v>
                </c:pt>
              </c:numCache>
            </c:numRef>
          </c:val>
          <c:extLst>
            <c:ext xmlns:c16="http://schemas.microsoft.com/office/drawing/2014/chart" uri="{C3380CC4-5D6E-409C-BE32-E72D297353CC}">
              <c16:uniqueId val="{00000003-7CDD-46CB-87B1-48DDA4EC5FFE}"/>
            </c:ext>
          </c:extLst>
        </c:ser>
        <c:ser>
          <c:idx val="1"/>
          <c:order val="1"/>
          <c:tx>
            <c:strRef>
              <c:f>'2018 calculations'!$B$442</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'2018 calculations'!$C$440:$K$440</c:f>
              <c:strCache>
                <c:ptCount val="6"/>
                <c:pt idx="0">
                  <c:v>Compliant 
List</c:v>
                </c:pt>
                <c:pt idx="1">
                  <c:v>Driver 
Guidance</c:v>
                </c:pt>
                <c:pt idx="2">
                  <c:v>Meter 
Policy</c:v>
                </c:pt>
                <c:pt idx="3">
                  <c:v>Ref 
Wch</c:v>
                </c:pt>
                <c:pt idx="4">
                  <c:v>Chair 
Size</c:v>
                </c:pt>
                <c:pt idx="5">
                  <c:v>W/ch Transfer 
Lists</c:v>
                </c:pt>
              </c:strCache>
            </c:strRef>
          </c:cat>
          <c:val>
            <c:numRef>
              <c:f>'2018 calculations'!$C$442:$K$442</c:f>
              <c:numCache>
                <c:formatCode>0%</c:formatCode>
                <c:ptCount val="6"/>
                <c:pt idx="0">
                  <c:v>0.17964071856287425</c:v>
                </c:pt>
                <c:pt idx="1">
                  <c:v>0.15060240963855423</c:v>
                </c:pt>
                <c:pt idx="2">
                  <c:v>0.54491017964071853</c:v>
                </c:pt>
                <c:pt idx="3">
                  <c:v>0.11377245508982035</c:v>
                </c:pt>
                <c:pt idx="4">
                  <c:v>0.95808383233532934</c:v>
                </c:pt>
                <c:pt idx="5">
                  <c:v>0.9652173913043478</c:v>
                </c:pt>
              </c:numCache>
            </c:numRef>
          </c:val>
          <c:extLst>
            <c:ext xmlns:c16="http://schemas.microsoft.com/office/drawing/2014/chart" uri="{C3380CC4-5D6E-409C-BE32-E72D297353CC}">
              <c16:uniqueId val="{00000004-7CDD-46CB-87B1-48DDA4EC5FFE}"/>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a:t>% Authorities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2018!Exemptions</c:name>
    <c:fmtId val="-1"/>
  </c:pivotSource>
  <c:chart>
    <c:title>
      <c:tx>
        <c:rich>
          <a:bodyPr rot="0" spcFirstLastPara="1" vertOverflow="ellipsis" vert="horz" wrap="square" anchor="ctr" anchorCtr="1"/>
          <a:lstStyle/>
          <a:p>
            <a:pPr>
              <a:defRPr sz="1400" b="1" i="0" u="none" strike="noStrike" kern="1200" cap="none" baseline="0">
                <a:solidFill>
                  <a:schemeClr val="tx1">
                    <a:lumMod val="65000"/>
                    <a:lumOff val="35000"/>
                  </a:schemeClr>
                </a:solidFill>
                <a:latin typeface="+mn-lt"/>
                <a:ea typeface="+mn-ea"/>
                <a:cs typeface="+mn-cs"/>
              </a:defRPr>
            </a:pPr>
            <a:r>
              <a:rPr lang="en-GB" sz="1400" cap="none" baseline="0"/>
              <a:t>Medical Exemptions per Authority with S167 list</a:t>
            </a:r>
          </a:p>
        </c:rich>
      </c:tx>
      <c:overlay val="0"/>
      <c:spPr>
        <a:noFill/>
        <a:ln>
          <a:noFill/>
        </a:ln>
        <a:effectLst/>
      </c:sp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661872970094137"/>
              <c:y val="-1.8763288391768128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pivotFmt>
      <c:pivotFmt>
        <c:idx val="31"/>
        <c:spPr>
          <a:solidFill>
            <a:schemeClr val="accent2"/>
          </a:solidFill>
          <a:ln>
            <a:noFill/>
          </a:ln>
          <a:effectLst>
            <a:outerShdw blurRad="63500" sx="102000" sy="102000" algn="ctr" rotWithShape="0">
              <a:prstClr val="black">
                <a:alpha val="20000"/>
              </a:prstClr>
            </a:outerShdw>
          </a:effectLst>
        </c:spPr>
      </c:pivotFmt>
      <c:pivotFmt>
        <c:idx val="32"/>
        <c:spPr>
          <a:solidFill>
            <a:schemeClr val="accent3"/>
          </a:solidFill>
          <a:ln>
            <a:noFill/>
          </a:ln>
          <a:effectLst>
            <a:outerShdw blurRad="63500" sx="102000" sy="102000" algn="ctr" rotWithShape="0">
              <a:prstClr val="black">
                <a:alpha val="20000"/>
              </a:prstClr>
            </a:outerShdw>
          </a:effectLst>
        </c:spPr>
      </c:pivotFmt>
      <c:pivotFmt>
        <c:idx val="33"/>
        <c:spPr>
          <a:solidFill>
            <a:schemeClr val="accent4"/>
          </a:solidFill>
          <a:ln>
            <a:noFill/>
          </a:ln>
          <a:effectLst>
            <a:outerShdw blurRad="63500" sx="102000" sy="102000" algn="ctr" rotWithShape="0">
              <a:prstClr val="black">
                <a:alpha val="20000"/>
              </a:prstClr>
            </a:outerShdw>
          </a:effectLst>
        </c:spPr>
      </c:pivotFmt>
      <c:pivotFmt>
        <c:idx val="34"/>
        <c:spPr>
          <a:solidFill>
            <a:schemeClr val="accent5"/>
          </a:solidFill>
          <a:ln>
            <a:noFill/>
          </a:ln>
          <a:effectLst>
            <a:outerShdw blurRad="63500" sx="102000" sy="102000" algn="ctr" rotWithShape="0">
              <a:prstClr val="black">
                <a:alpha val="20000"/>
              </a:prstClr>
            </a:outerShdw>
          </a:effectLst>
        </c:spPr>
      </c:pivotFmt>
      <c:pivotFmt>
        <c:idx val="3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pivotFmt>
      <c:pivotFmt>
        <c:idx val="43"/>
        <c:spPr>
          <a:solidFill>
            <a:schemeClr val="accent2"/>
          </a:solidFill>
          <a:ln>
            <a:noFill/>
          </a:ln>
          <a:effectLst>
            <a:outerShdw blurRad="63500" sx="102000" sy="102000" algn="ctr" rotWithShape="0">
              <a:prstClr val="black">
                <a:alpha val="20000"/>
              </a:prstClr>
            </a:outerShdw>
          </a:effectLst>
        </c:spPr>
      </c:pivotFmt>
      <c:pivotFmt>
        <c:idx val="44"/>
        <c:spPr>
          <a:solidFill>
            <a:schemeClr val="accent3"/>
          </a:solidFill>
          <a:ln>
            <a:noFill/>
          </a:ln>
          <a:effectLst>
            <a:outerShdw blurRad="63500" sx="102000" sy="102000" algn="ctr" rotWithShape="0">
              <a:prstClr val="black">
                <a:alpha val="20000"/>
              </a:prstClr>
            </a:outerShdw>
          </a:effectLst>
        </c:spPr>
      </c:pivotFmt>
      <c:pivotFmt>
        <c:idx val="45"/>
        <c:spPr>
          <a:solidFill>
            <a:schemeClr val="accent4"/>
          </a:solidFill>
          <a:ln>
            <a:noFill/>
          </a:ln>
          <a:effectLst>
            <a:outerShdw blurRad="63500" sx="102000" sy="102000" algn="ctr" rotWithShape="0">
              <a:prstClr val="black">
                <a:alpha val="20000"/>
              </a:prstClr>
            </a:outerShdw>
          </a:effectLst>
        </c:spPr>
      </c:pivotFmt>
      <c:pivotFmt>
        <c:idx val="46"/>
        <c:spPr>
          <a:solidFill>
            <a:schemeClr val="accent5"/>
          </a:solidFill>
          <a:ln>
            <a:noFill/>
          </a:ln>
          <a:effectLst>
            <a:outerShdw blurRad="63500" sx="102000" sy="102000" algn="ctr" rotWithShape="0">
              <a:prstClr val="black">
                <a:alpha val="20000"/>
              </a:prstClr>
            </a:outerShdw>
          </a:effectLst>
        </c:spPr>
      </c:pivotFmt>
      <c:pivotFmt>
        <c:idx val="4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4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9"/>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pivotFmt>
      <c:pivotFmt>
        <c:idx val="55"/>
        <c:spPr>
          <a:solidFill>
            <a:schemeClr val="accent2"/>
          </a:solidFill>
          <a:ln>
            <a:noFill/>
          </a:ln>
          <a:effectLst>
            <a:outerShdw blurRad="63500" sx="102000" sy="102000" algn="ctr" rotWithShape="0">
              <a:prstClr val="black">
                <a:alpha val="20000"/>
              </a:prstClr>
            </a:outerShdw>
          </a:effectLst>
        </c:spPr>
      </c:pivotFmt>
      <c:pivotFmt>
        <c:idx val="56"/>
        <c:spPr>
          <a:solidFill>
            <a:schemeClr val="accent3"/>
          </a:solidFill>
          <a:ln>
            <a:noFill/>
          </a:ln>
          <a:effectLst>
            <a:outerShdw blurRad="63500" sx="102000" sy="102000" algn="ctr" rotWithShape="0">
              <a:prstClr val="black">
                <a:alpha val="20000"/>
              </a:prstClr>
            </a:outerShdw>
          </a:effectLst>
        </c:spPr>
      </c:pivotFmt>
      <c:pivotFmt>
        <c:idx val="57"/>
        <c:spPr>
          <a:solidFill>
            <a:schemeClr val="accent4"/>
          </a:solidFill>
          <a:ln>
            <a:noFill/>
          </a:ln>
          <a:effectLst>
            <a:outerShdw blurRad="63500" sx="102000" sy="102000" algn="ctr" rotWithShape="0">
              <a:prstClr val="black">
                <a:alpha val="20000"/>
              </a:prstClr>
            </a:outerShdw>
          </a:effectLst>
        </c:spPr>
      </c:pivotFmt>
      <c:pivotFmt>
        <c:idx val="58"/>
        <c:spPr>
          <a:solidFill>
            <a:schemeClr val="accent5"/>
          </a:solidFill>
          <a:ln>
            <a:noFill/>
          </a:ln>
          <a:effectLst>
            <a:outerShdw blurRad="63500" sx="102000" sy="102000" algn="ctr" rotWithShape="0">
              <a:prstClr val="black">
                <a:alpha val="20000"/>
              </a:prstClr>
            </a:outerShdw>
          </a:effectLst>
        </c:spPr>
      </c:pivotFmt>
      <c:pivotFmt>
        <c:idx val="5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1"/>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2"/>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63"/>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pivotFmt>
      <c:pivotFmt>
        <c:idx val="67"/>
        <c:spPr>
          <a:solidFill>
            <a:schemeClr val="accent2"/>
          </a:solidFill>
          <a:ln>
            <a:noFill/>
          </a:ln>
          <a:effectLst>
            <a:outerShdw blurRad="63500" sx="102000" sy="102000" algn="ctr" rotWithShape="0">
              <a:prstClr val="black">
                <a:alpha val="20000"/>
              </a:prstClr>
            </a:outerShdw>
          </a:effectLst>
        </c:spPr>
      </c:pivotFmt>
      <c:pivotFmt>
        <c:idx val="68"/>
        <c:spPr>
          <a:solidFill>
            <a:schemeClr val="accent3"/>
          </a:solidFill>
          <a:ln>
            <a:noFill/>
          </a:ln>
          <a:effectLst>
            <a:outerShdw blurRad="63500" sx="102000" sy="102000" algn="ctr" rotWithShape="0">
              <a:prstClr val="black">
                <a:alpha val="20000"/>
              </a:prstClr>
            </a:outerShdw>
          </a:effectLst>
        </c:spPr>
      </c:pivotFmt>
      <c:pivotFmt>
        <c:idx val="69"/>
        <c:spPr>
          <a:solidFill>
            <a:schemeClr val="accent4"/>
          </a:solidFill>
          <a:ln>
            <a:noFill/>
          </a:ln>
          <a:effectLst>
            <a:outerShdw blurRad="63500" sx="102000" sy="102000" algn="ctr" rotWithShape="0">
              <a:prstClr val="black">
                <a:alpha val="20000"/>
              </a:prstClr>
            </a:outerShdw>
          </a:effectLst>
        </c:spPr>
      </c:pivotFmt>
      <c:pivotFmt>
        <c:idx val="70"/>
        <c:spPr>
          <a:solidFill>
            <a:schemeClr val="accent5"/>
          </a:solidFill>
          <a:ln>
            <a:noFill/>
          </a:ln>
          <a:effectLst>
            <a:outerShdw blurRad="63500" sx="102000" sy="102000" algn="ctr" rotWithShape="0">
              <a:prstClr val="black">
                <a:alpha val="20000"/>
              </a:prstClr>
            </a:outerShdw>
          </a:effectLst>
        </c:spPr>
      </c:pivotFmt>
      <c:pivotFmt>
        <c:idx val="7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3"/>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4"/>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5"/>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6"/>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pivotFmt>
      <c:pivotFmt>
        <c:idx val="79"/>
        <c:spPr>
          <a:solidFill>
            <a:schemeClr val="accent2"/>
          </a:solidFill>
          <a:ln>
            <a:noFill/>
          </a:ln>
          <a:effectLst>
            <a:outerShdw blurRad="63500" sx="102000" sy="102000" algn="ctr" rotWithShape="0">
              <a:prstClr val="black">
                <a:alpha val="20000"/>
              </a:prstClr>
            </a:outerShdw>
          </a:effectLst>
        </c:spPr>
      </c:pivotFmt>
      <c:pivotFmt>
        <c:idx val="80"/>
        <c:spPr>
          <a:solidFill>
            <a:schemeClr val="accent3"/>
          </a:solidFill>
          <a:ln>
            <a:noFill/>
          </a:ln>
          <a:effectLst>
            <a:outerShdw blurRad="63500" sx="102000" sy="102000" algn="ctr" rotWithShape="0">
              <a:prstClr val="black">
                <a:alpha val="20000"/>
              </a:prstClr>
            </a:outerShdw>
          </a:effectLst>
        </c:spPr>
      </c:pivotFmt>
      <c:pivotFmt>
        <c:idx val="81"/>
        <c:spPr>
          <a:solidFill>
            <a:schemeClr val="accent4"/>
          </a:solidFill>
          <a:ln>
            <a:noFill/>
          </a:ln>
          <a:effectLst>
            <a:outerShdw blurRad="63500" sx="102000" sy="102000" algn="ctr" rotWithShape="0">
              <a:prstClr val="black">
                <a:alpha val="20000"/>
              </a:prstClr>
            </a:outerShdw>
          </a:effectLst>
        </c:spPr>
      </c:pivotFmt>
      <c:pivotFmt>
        <c:idx val="82"/>
        <c:spPr>
          <a:solidFill>
            <a:schemeClr val="accent5"/>
          </a:solidFill>
          <a:ln>
            <a:noFill/>
          </a:ln>
          <a:effectLst>
            <a:outerShdw blurRad="63500" sx="102000" sy="102000" algn="ctr" rotWithShape="0">
              <a:prstClr val="black">
                <a:alpha val="20000"/>
              </a:prstClr>
            </a:outerShdw>
          </a:effectLst>
        </c:spPr>
      </c:pivotFmt>
      <c:pivotFmt>
        <c:idx val="83"/>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8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5"/>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8"/>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pivotFmt>
      <c:pivotFmt>
        <c:idx val="91"/>
        <c:spPr>
          <a:solidFill>
            <a:schemeClr val="accent2"/>
          </a:solidFill>
          <a:ln>
            <a:noFill/>
          </a:ln>
          <a:effectLst>
            <a:outerShdw blurRad="63500" sx="102000" sy="102000" algn="ctr" rotWithShape="0">
              <a:prstClr val="black">
                <a:alpha val="20000"/>
              </a:prstClr>
            </a:outerShdw>
          </a:effectLst>
        </c:spPr>
      </c:pivotFmt>
      <c:pivotFmt>
        <c:idx val="92"/>
        <c:spPr>
          <a:solidFill>
            <a:schemeClr val="accent3"/>
          </a:solidFill>
          <a:ln>
            <a:noFill/>
          </a:ln>
          <a:effectLst>
            <a:outerShdw blurRad="63500" sx="102000" sy="102000" algn="ctr" rotWithShape="0">
              <a:prstClr val="black">
                <a:alpha val="20000"/>
              </a:prstClr>
            </a:outerShdw>
          </a:effectLst>
        </c:spPr>
      </c:pivotFmt>
      <c:pivotFmt>
        <c:idx val="93"/>
        <c:spPr>
          <a:solidFill>
            <a:schemeClr val="accent4"/>
          </a:solidFill>
          <a:ln>
            <a:noFill/>
          </a:ln>
          <a:effectLst>
            <a:outerShdw blurRad="63500" sx="102000" sy="102000" algn="ctr" rotWithShape="0">
              <a:prstClr val="black">
                <a:alpha val="20000"/>
              </a:prstClr>
            </a:outerShdw>
          </a:effectLst>
        </c:spPr>
      </c:pivotFmt>
      <c:pivotFmt>
        <c:idx val="94"/>
        <c:spPr>
          <a:solidFill>
            <a:schemeClr val="accent5"/>
          </a:solidFill>
          <a:ln>
            <a:noFill/>
          </a:ln>
          <a:effectLst>
            <a:outerShdw blurRad="63500" sx="102000" sy="102000" algn="ctr" rotWithShape="0">
              <a:prstClr val="black">
                <a:alpha val="20000"/>
              </a:prstClr>
            </a:outerShdw>
          </a:effectLst>
        </c:spPr>
      </c:pivotFmt>
      <c:pivotFmt>
        <c:idx val="9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9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7"/>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0"/>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0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pivotFmt>
      <c:pivotFmt>
        <c:idx val="103"/>
        <c:spPr>
          <a:solidFill>
            <a:schemeClr val="accent2"/>
          </a:solidFill>
          <a:ln>
            <a:noFill/>
          </a:ln>
          <a:effectLst>
            <a:outerShdw blurRad="63500" sx="102000" sy="102000" algn="ctr" rotWithShape="0">
              <a:prstClr val="black">
                <a:alpha val="20000"/>
              </a:prstClr>
            </a:outerShdw>
          </a:effectLst>
        </c:spPr>
      </c:pivotFmt>
      <c:pivotFmt>
        <c:idx val="104"/>
        <c:spPr>
          <a:solidFill>
            <a:schemeClr val="accent3"/>
          </a:solidFill>
          <a:ln>
            <a:noFill/>
          </a:ln>
          <a:effectLst>
            <a:outerShdw blurRad="63500" sx="102000" sy="102000" algn="ctr" rotWithShape="0">
              <a:prstClr val="black">
                <a:alpha val="20000"/>
              </a:prstClr>
            </a:outerShdw>
          </a:effectLst>
        </c:spPr>
      </c:pivotFmt>
      <c:pivotFmt>
        <c:idx val="105"/>
        <c:spPr>
          <a:solidFill>
            <a:schemeClr val="accent4"/>
          </a:solidFill>
          <a:ln>
            <a:noFill/>
          </a:ln>
          <a:effectLst>
            <a:outerShdw blurRad="63500" sx="102000" sy="102000" algn="ctr" rotWithShape="0">
              <a:prstClr val="black">
                <a:alpha val="20000"/>
              </a:prstClr>
            </a:outerShdw>
          </a:effectLst>
        </c:spPr>
      </c:pivotFmt>
      <c:pivotFmt>
        <c:idx val="106"/>
        <c:spPr>
          <a:solidFill>
            <a:schemeClr val="accent5"/>
          </a:solidFill>
          <a:ln>
            <a:noFill/>
          </a:ln>
          <a:effectLst>
            <a:outerShdw blurRad="63500" sx="102000" sy="102000" algn="ctr" rotWithShape="0">
              <a:prstClr val="black">
                <a:alpha val="20000"/>
              </a:prstClr>
            </a:outerShdw>
          </a:effectLst>
        </c:spPr>
      </c:pivotFmt>
      <c:pivotFmt>
        <c:idx val="10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0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9"/>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1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pivotFmt>
      <c:pivotFmt>
        <c:idx val="115"/>
        <c:spPr>
          <a:solidFill>
            <a:schemeClr val="accent2"/>
          </a:solidFill>
          <a:ln>
            <a:noFill/>
          </a:ln>
          <a:effectLst>
            <a:outerShdw blurRad="63500" sx="102000" sy="102000" algn="ctr" rotWithShape="0">
              <a:prstClr val="black">
                <a:alpha val="20000"/>
              </a:prstClr>
            </a:outerShdw>
          </a:effectLst>
        </c:spPr>
      </c:pivotFmt>
      <c:pivotFmt>
        <c:idx val="116"/>
        <c:spPr>
          <a:solidFill>
            <a:schemeClr val="accent3"/>
          </a:solidFill>
          <a:ln>
            <a:noFill/>
          </a:ln>
          <a:effectLst>
            <a:outerShdw blurRad="63500" sx="102000" sy="102000" algn="ctr" rotWithShape="0">
              <a:prstClr val="black">
                <a:alpha val="20000"/>
              </a:prstClr>
            </a:outerShdw>
          </a:effectLst>
        </c:spPr>
      </c:pivotFmt>
      <c:pivotFmt>
        <c:idx val="117"/>
        <c:spPr>
          <a:solidFill>
            <a:schemeClr val="accent4"/>
          </a:solidFill>
          <a:ln>
            <a:noFill/>
          </a:ln>
          <a:effectLst>
            <a:outerShdw blurRad="63500" sx="102000" sy="102000" algn="ctr" rotWithShape="0">
              <a:prstClr val="black">
                <a:alpha val="20000"/>
              </a:prstClr>
            </a:outerShdw>
          </a:effectLst>
        </c:spPr>
      </c:pivotFmt>
      <c:pivotFmt>
        <c:idx val="118"/>
        <c:spPr>
          <a:solidFill>
            <a:schemeClr val="accent5"/>
          </a:solidFill>
          <a:ln>
            <a:noFill/>
          </a:ln>
          <a:effectLst>
            <a:outerShdw blurRad="63500" sx="102000" sy="102000" algn="ctr" rotWithShape="0">
              <a:prstClr val="black">
                <a:alpha val="20000"/>
              </a:prstClr>
            </a:outerShdw>
          </a:effectLst>
        </c:spPr>
      </c:pivotFmt>
      <c:pivotFmt>
        <c:idx val="119"/>
        <c:spPr>
          <a:ln w="15875" cmpd="tri">
            <a:solidFill>
              <a:schemeClr val="tx1"/>
            </a:solidFill>
          </a:ln>
          <a:effectLst>
            <a:outerShdw blurRad="50800" dist="63500" dir="2700000" algn="tl" rotWithShape="0">
              <a:prstClr val="black">
                <a:alpha val="40000"/>
              </a:prstClr>
            </a:outerShdw>
          </a:effectLst>
        </c:spPr>
        <c:marker>
          <c:symbol val="none"/>
        </c:marker>
        <c:dLbl>
          <c:idx val="0"/>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extLst>
            <c:ext xmlns:c15="http://schemas.microsoft.com/office/drawing/2012/chart" uri="{CE6537A1-D6FC-4f65-9D91-7224C49458BB}"/>
          </c:extLst>
        </c:dLbl>
      </c:pivotFmt>
      <c:pivotFmt>
        <c:idx val="120"/>
        <c:spPr>
          <a:solidFill>
            <a:srgbClr val="FFEBB0"/>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Lst>
        </c:dLbl>
      </c:pivotFmt>
      <c:pivotFmt>
        <c:idx val="121"/>
        <c:spPr>
          <a:solidFill>
            <a:srgbClr val="D0A524"/>
          </a:solidFill>
          <a:ln w="15875" cmpd="tri">
            <a:solidFill>
              <a:schemeClr val="tx1"/>
            </a:solidFill>
          </a:ln>
          <a:effectLst>
            <a:outerShdw blurRad="50800" dist="63500" dir="2700000" algn="tl" rotWithShape="0">
              <a:prstClr val="black">
                <a:alpha val="40000"/>
              </a:prstClr>
            </a:outerShdw>
          </a:effectLst>
        </c:spPr>
        <c:dLbl>
          <c:idx val="0"/>
          <c:layout>
            <c:manualLayout>
              <c:x val="-1.2629385409999559E-2"/>
              <c:y val="7.168059844675468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2"/>
        <c:spPr>
          <a:solidFill>
            <a:srgbClr val="997105"/>
          </a:solidFill>
          <a:ln w="15875" cmpd="tri">
            <a:solidFill>
              <a:schemeClr val="tx1"/>
            </a:solidFill>
          </a:ln>
          <a:effectLst>
            <a:outerShdw blurRad="50800" dist="63500" dir="2700000" algn="tl" rotWithShape="0">
              <a:prstClr val="black">
                <a:alpha val="40000"/>
              </a:prstClr>
            </a:outerShdw>
          </a:effectLst>
        </c:spPr>
        <c:dLbl>
          <c:idx val="0"/>
          <c:layout>
            <c:manualLayout>
              <c:x val="-3.9292678207284604E-2"/>
              <c:y val="4.999509558225139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3"/>
        <c:spPr>
          <a:solidFill>
            <a:srgbClr val="FD9E85"/>
          </a:solidFill>
          <a:ln w="15875" cmpd="tri">
            <a:solidFill>
              <a:schemeClr val="tx1"/>
            </a:solidFill>
          </a:ln>
          <a:effectLst>
            <a:outerShdw blurRad="50800" dist="63500" dir="2700000" algn="tl" rotWithShape="0">
              <a:prstClr val="black">
                <a:alpha val="40000"/>
              </a:prstClr>
            </a:outerShdw>
          </a:effectLst>
        </c:spPr>
        <c:dLbl>
          <c:idx val="0"/>
          <c:layout>
            <c:manualLayout>
              <c:x val="-2.520478890989288E-3"/>
              <c:y val="8.2135523613962921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4"/>
        <c:spPr>
          <a:solidFill>
            <a:srgbClr val="FF0000"/>
          </a:solidFill>
          <a:ln w="15875" cmpd="tri">
            <a:solidFill>
              <a:schemeClr val="tx1"/>
            </a:solidFill>
          </a:ln>
          <a:effectLst>
            <a:outerShdw blurRad="50800" dist="63500" dir="2700000" algn="tl" rotWithShape="0">
              <a:prstClr val="black">
                <a:alpha val="40000"/>
              </a:prstClr>
            </a:outerShdw>
          </a:effectLst>
        </c:spPr>
        <c:dLbl>
          <c:idx val="0"/>
          <c:layout>
            <c:manualLayout>
              <c:x val="1.4453457968037504E-2"/>
              <c:y val="1.411825575191179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26"/>
        <c:spPr>
          <a:solidFill>
            <a:schemeClr val="accent1"/>
          </a:solidFill>
          <a:ln>
            <a:noFill/>
          </a:ln>
          <a:effectLst>
            <a:outerShdw blurRad="63500" sx="102000" sy="102000" algn="ctr" rotWithShape="0">
              <a:prstClr val="black">
                <a:alpha val="20000"/>
              </a:prstClr>
            </a:outerShdw>
          </a:effectLst>
        </c:spPr>
      </c:pivotFmt>
      <c:pivotFmt>
        <c:idx val="127"/>
        <c:spPr>
          <a:solidFill>
            <a:schemeClr val="accent2"/>
          </a:solidFill>
          <a:ln>
            <a:noFill/>
          </a:ln>
          <a:effectLst>
            <a:outerShdw blurRad="63500" sx="102000" sy="102000" algn="ctr" rotWithShape="0">
              <a:prstClr val="black">
                <a:alpha val="20000"/>
              </a:prstClr>
            </a:outerShdw>
          </a:effectLst>
        </c:spPr>
      </c:pivotFmt>
      <c:pivotFmt>
        <c:idx val="128"/>
        <c:spPr>
          <a:solidFill>
            <a:schemeClr val="accent3"/>
          </a:solidFill>
          <a:ln>
            <a:noFill/>
          </a:ln>
          <a:effectLst>
            <a:outerShdw blurRad="63500" sx="102000" sy="102000" algn="ctr" rotWithShape="0">
              <a:prstClr val="black">
                <a:alpha val="20000"/>
              </a:prstClr>
            </a:outerShdw>
          </a:effectLst>
        </c:spPr>
      </c:pivotFmt>
      <c:pivotFmt>
        <c:idx val="129"/>
        <c:spPr>
          <a:solidFill>
            <a:schemeClr val="accent4"/>
          </a:solidFill>
          <a:ln>
            <a:noFill/>
          </a:ln>
          <a:effectLst>
            <a:outerShdw blurRad="63500" sx="102000" sy="102000" algn="ctr" rotWithShape="0">
              <a:prstClr val="black">
                <a:alpha val="20000"/>
              </a:prstClr>
            </a:outerShdw>
          </a:effectLst>
        </c:spPr>
      </c:pivotFmt>
      <c:pivotFmt>
        <c:idx val="130"/>
        <c:spPr>
          <a:solidFill>
            <a:schemeClr val="accent5"/>
          </a:solidFill>
          <a:ln>
            <a:noFill/>
          </a:ln>
          <a:effectLst>
            <a:outerShdw blurRad="63500" sx="102000" sy="102000" algn="ctr" rotWithShape="0">
              <a:prstClr val="black">
                <a:alpha val="20000"/>
              </a:prstClr>
            </a:outerShdw>
          </a:effectLst>
        </c:spPr>
      </c:pivotFmt>
      <c:pivotFmt>
        <c:idx val="131"/>
        <c:spPr>
          <a:solidFill>
            <a:srgbClr val="A800FF"/>
          </a:solidFill>
          <a:ln w="15875" cmpd="tri">
            <a:solidFill>
              <a:schemeClr val="tx1"/>
            </a:solidFill>
          </a:ln>
          <a:effectLst>
            <a:outerShdw blurRad="50800" dist="63500" dir="2700000" algn="tl" rotWithShape="0">
              <a:prstClr val="black">
                <a:alpha val="40000"/>
              </a:prstClr>
            </a:outerShdw>
          </a:effectLst>
        </c:spPr>
        <c:dLbl>
          <c:idx val="0"/>
          <c:layout>
            <c:manualLayout>
              <c:x val="1.6661556246868006E-2"/>
              <c:y val="1.999040674330492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r>
                  <a:rPr lang="en-US"/>
                  <a:t>&gt;50</a:t>
                </a:r>
              </a:p>
              <a:p>
                <a:pPr>
                  <a:defRPr sz="1200" b="1" i="0" u="none" strike="noStrike" kern="1200" spc="0" baseline="0">
                    <a:solidFill>
                      <a:schemeClr val="tx1"/>
                    </a:solidFill>
                    <a:latin typeface="+mn-lt"/>
                    <a:ea typeface="+mn-ea"/>
                    <a:cs typeface="+mn-cs"/>
                  </a:defRPr>
                </a:pPr>
                <a:fld id="{47E06479-E49D-4F0D-9AE7-5A6935D92864}" type="PERCENTAGE">
                  <a:rPr lang="en-US"/>
                  <a:pPr>
                    <a:defRPr sz="1200" b="1" i="0" u="none" strike="noStrike" kern="1200" spc="0" baseline="0">
                      <a:solidFill>
                        <a:schemeClr val="tx1"/>
                      </a:solidFill>
                      <a:latin typeface="+mn-lt"/>
                      <a:ea typeface="+mn-ea"/>
                      <a:cs typeface="+mn-cs"/>
                    </a:defRPr>
                  </a:pPr>
                  <a:t>[PERCENTAGE]</a:t>
                </a:fld>
                <a:endParaRPr lang="en-GB"/>
              </a:p>
            </c:rich>
          </c:tx>
          <c:spPr>
            <a:noFill/>
          </c:spPr>
          <c:showLegendKey val="1"/>
          <c:showVal val="0"/>
          <c:showCatName val="0"/>
          <c:showSerName val="0"/>
          <c:showPercent val="1"/>
          <c:showBubbleSize val="0"/>
          <c:separator>
</c:separator>
          <c:extLst>
            <c:ext xmlns:c15="http://schemas.microsoft.com/office/drawing/2012/chart" uri="{CE6537A1-D6FC-4f65-9D91-7224C49458BB}">
              <c15:dlblFieldTable/>
              <c15:showDataLabelsRange val="0"/>
            </c:ext>
          </c:extLst>
        </c:dLbl>
      </c:pivotFmt>
      <c:pivotFmt>
        <c:idx val="132"/>
        <c:spPr>
          <a:ln w="15875" cmpd="tri">
            <a:solidFill>
              <a:schemeClr val="tx1"/>
            </a:solidFill>
          </a:ln>
          <a:effectLst>
            <a:outerShdw blurRad="50800" dist="63500" dir="2700000" algn="tl" rotWithShape="0">
              <a:prstClr val="black">
                <a:alpha val="40000"/>
              </a:prstClr>
            </a:outerShdw>
          </a:effectLst>
        </c:spPr>
        <c:marker>
          <c:symbol val="none"/>
        </c:marker>
        <c:dLbl>
          <c:idx val="0"/>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extLst>
            <c:ext xmlns:c15="http://schemas.microsoft.com/office/drawing/2012/chart" uri="{CE6537A1-D6FC-4f65-9D91-7224C49458BB}"/>
          </c:extLst>
        </c:dLbl>
      </c:pivotFmt>
      <c:pivotFmt>
        <c:idx val="133"/>
        <c:spPr>
          <a:solidFill>
            <a:srgbClr val="FFEBB0"/>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Lst>
        </c:dLbl>
      </c:pivotFmt>
      <c:pivotFmt>
        <c:idx val="134"/>
        <c:spPr>
          <a:solidFill>
            <a:srgbClr val="D0A524"/>
          </a:solidFill>
          <a:ln w="15875" cmpd="tri">
            <a:solidFill>
              <a:schemeClr val="tx1"/>
            </a:solidFill>
          </a:ln>
          <a:effectLst>
            <a:outerShdw blurRad="50800" dist="63500" dir="2700000" algn="tl" rotWithShape="0">
              <a:prstClr val="black">
                <a:alpha val="40000"/>
              </a:prstClr>
            </a:outerShdw>
          </a:effectLst>
        </c:spPr>
        <c:dLbl>
          <c:idx val="0"/>
          <c:layout>
            <c:manualLayout>
              <c:x val="-1.2629385409999559E-2"/>
              <c:y val="7.168059844675468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5"/>
        <c:spPr>
          <a:solidFill>
            <a:srgbClr val="997105"/>
          </a:solidFill>
          <a:ln w="15875" cmpd="tri">
            <a:solidFill>
              <a:schemeClr val="tx1"/>
            </a:solidFill>
          </a:ln>
          <a:effectLst>
            <a:outerShdw blurRad="50800" dist="63500" dir="2700000" algn="tl" rotWithShape="0">
              <a:prstClr val="black">
                <a:alpha val="40000"/>
              </a:prstClr>
            </a:outerShdw>
          </a:effectLst>
        </c:spPr>
        <c:dLbl>
          <c:idx val="0"/>
          <c:layout>
            <c:manualLayout>
              <c:x val="-3.9292678207284604E-2"/>
              <c:y val="4.999509558225139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6"/>
        <c:spPr>
          <a:solidFill>
            <a:srgbClr val="FD9E85"/>
          </a:solidFill>
          <a:ln w="15875" cmpd="tri">
            <a:solidFill>
              <a:schemeClr val="tx1"/>
            </a:solidFill>
          </a:ln>
          <a:effectLst>
            <a:outerShdw blurRad="50800" dist="63500" dir="2700000" algn="tl" rotWithShape="0">
              <a:prstClr val="black">
                <a:alpha val="40000"/>
              </a:prstClr>
            </a:outerShdw>
          </a:effectLst>
        </c:spPr>
        <c:dLbl>
          <c:idx val="0"/>
          <c:layout>
            <c:manualLayout>
              <c:x val="-2.520478890989288E-3"/>
              <c:y val="8.2135523613962921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7"/>
        <c:spPr>
          <a:solidFill>
            <a:srgbClr val="FF0000"/>
          </a:solidFill>
          <a:ln w="15875" cmpd="tri">
            <a:solidFill>
              <a:schemeClr val="tx1"/>
            </a:solidFill>
          </a:ln>
          <a:effectLst>
            <a:outerShdw blurRad="50800" dist="63500" dir="2700000" algn="tl" rotWithShape="0">
              <a:prstClr val="black">
                <a:alpha val="40000"/>
              </a:prstClr>
            </a:outerShdw>
          </a:effectLst>
        </c:spPr>
        <c:dLbl>
          <c:idx val="0"/>
          <c:layout>
            <c:manualLayout>
              <c:x val="1.4453457968037504E-2"/>
              <c:y val="1.411825575191179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8"/>
        <c:spPr>
          <a:solidFill>
            <a:srgbClr val="A800FF"/>
          </a:solidFill>
          <a:ln w="15875" cmpd="tri">
            <a:solidFill>
              <a:schemeClr val="tx1"/>
            </a:solidFill>
          </a:ln>
          <a:effectLst>
            <a:outerShdw blurRad="50800" dist="63500" dir="2700000" algn="tl" rotWithShape="0">
              <a:prstClr val="black">
                <a:alpha val="40000"/>
              </a:prstClr>
            </a:outerShdw>
          </a:effectLst>
        </c:spPr>
        <c:dLbl>
          <c:idx val="0"/>
          <c:layout>
            <c:manualLayout>
              <c:x val="1.6661556246868006E-2"/>
              <c:y val="1.999040674330492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r>
                  <a:rPr lang="en-US"/>
                  <a:t>&gt;50</a:t>
                </a:r>
              </a:p>
              <a:p>
                <a:pPr>
                  <a:defRPr sz="1200" b="1" i="0" u="none" strike="noStrike" kern="1200" spc="0" baseline="0">
                    <a:solidFill>
                      <a:schemeClr val="tx1"/>
                    </a:solidFill>
                    <a:latin typeface="+mn-lt"/>
                    <a:ea typeface="+mn-ea"/>
                    <a:cs typeface="+mn-cs"/>
                  </a:defRPr>
                </a:pPr>
                <a:fld id="{47E06479-E49D-4F0D-9AE7-5A6935D92864}" type="PERCENTAGE">
                  <a:rPr lang="en-US"/>
                  <a:pPr>
                    <a:defRPr sz="1200" b="1" i="0" u="none" strike="noStrike" kern="1200" spc="0" baseline="0">
                      <a:solidFill>
                        <a:schemeClr val="tx1"/>
                      </a:solidFill>
                      <a:latin typeface="+mn-lt"/>
                      <a:ea typeface="+mn-ea"/>
                      <a:cs typeface="+mn-cs"/>
                    </a:defRPr>
                  </a:pPr>
                  <a:t>[PERCENTAGE]</a:t>
                </a:fld>
                <a:endParaRPr lang="en-GB"/>
              </a:p>
            </c:rich>
          </c:tx>
          <c:spPr>
            <a:noFill/>
          </c:spPr>
          <c:showLegendKey val="1"/>
          <c:showVal val="0"/>
          <c:showCatName val="0"/>
          <c:showSerName val="0"/>
          <c:showPercent val="1"/>
          <c:showBubbleSize val="0"/>
          <c:separator>
</c:separator>
          <c:extLst>
            <c:ext xmlns:c15="http://schemas.microsoft.com/office/drawing/2012/chart" uri="{CE6537A1-D6FC-4f65-9D91-7224C49458BB}">
              <c15:dlblFieldTable/>
              <c15:showDataLabelsRange val="0"/>
            </c:ext>
          </c:extLst>
        </c:dLbl>
      </c:pivotFmt>
      <c:pivotFmt>
        <c:idx val="13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40"/>
        <c:spPr>
          <a:solidFill>
            <a:schemeClr val="accent1"/>
          </a:solidFill>
          <a:ln>
            <a:noFill/>
          </a:ln>
          <a:effectLst>
            <a:outerShdw blurRad="63500" sx="102000" sy="102000" algn="ctr" rotWithShape="0">
              <a:prstClr val="black">
                <a:alpha val="20000"/>
              </a:prstClr>
            </a:outerShdw>
          </a:effectLst>
        </c:spPr>
      </c:pivotFmt>
      <c:pivotFmt>
        <c:idx val="141"/>
        <c:spPr>
          <a:solidFill>
            <a:schemeClr val="accent2"/>
          </a:solidFill>
          <a:ln>
            <a:noFill/>
          </a:ln>
          <a:effectLst>
            <a:outerShdw blurRad="63500" sx="102000" sy="102000" algn="ctr" rotWithShape="0">
              <a:prstClr val="black">
                <a:alpha val="20000"/>
              </a:prstClr>
            </a:outerShdw>
          </a:effectLst>
        </c:spPr>
      </c:pivotFmt>
      <c:pivotFmt>
        <c:idx val="142"/>
        <c:spPr>
          <a:solidFill>
            <a:schemeClr val="accent3"/>
          </a:solidFill>
          <a:ln>
            <a:noFill/>
          </a:ln>
          <a:effectLst>
            <a:outerShdw blurRad="63500" sx="102000" sy="102000" algn="ctr" rotWithShape="0">
              <a:prstClr val="black">
                <a:alpha val="20000"/>
              </a:prstClr>
            </a:outerShdw>
          </a:effectLst>
        </c:spPr>
      </c:pivotFmt>
      <c:pivotFmt>
        <c:idx val="143"/>
        <c:spPr>
          <a:solidFill>
            <a:schemeClr val="accent4"/>
          </a:solidFill>
          <a:ln>
            <a:noFill/>
          </a:ln>
          <a:effectLst>
            <a:outerShdw blurRad="63500" sx="102000" sy="102000" algn="ctr" rotWithShape="0">
              <a:prstClr val="black">
                <a:alpha val="20000"/>
              </a:prstClr>
            </a:outerShdw>
          </a:effectLst>
        </c:spPr>
      </c:pivotFmt>
      <c:pivotFmt>
        <c:idx val="144"/>
        <c:spPr>
          <a:solidFill>
            <a:schemeClr val="accent5"/>
          </a:solidFill>
          <a:ln>
            <a:noFill/>
          </a:ln>
          <a:effectLst>
            <a:outerShdw blurRad="63500" sx="102000" sy="102000" algn="ctr" rotWithShape="0">
              <a:prstClr val="black">
                <a:alpha val="20000"/>
              </a:prstClr>
            </a:outerShdw>
          </a:effectLst>
        </c:spPr>
      </c:pivotFmt>
      <c:pivotFmt>
        <c:idx val="145"/>
        <c:spPr>
          <a:ln w="15875" cmpd="tri">
            <a:solidFill>
              <a:schemeClr val="tx1"/>
            </a:solidFill>
          </a:ln>
          <a:effectLst>
            <a:outerShdw blurRad="50800" dist="63500" dir="2700000" algn="tl" rotWithShape="0">
              <a:prstClr val="black">
                <a:alpha val="40000"/>
              </a:prstClr>
            </a:outerShdw>
          </a:effectLst>
        </c:spPr>
        <c:marker>
          <c:symbol val="none"/>
        </c:marker>
        <c:dLbl>
          <c:idx val="0"/>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extLst>
            <c:ext xmlns:c15="http://schemas.microsoft.com/office/drawing/2012/chart" uri="{CE6537A1-D6FC-4f65-9D91-7224C49458BB}"/>
          </c:extLst>
        </c:dLbl>
      </c:pivotFmt>
      <c:pivotFmt>
        <c:idx val="146"/>
        <c:spPr>
          <a:solidFill>
            <a:srgbClr val="FFEBB0"/>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Lst>
        </c:dLbl>
      </c:pivotFmt>
      <c:pivotFmt>
        <c:idx val="147"/>
        <c:spPr>
          <a:solidFill>
            <a:srgbClr val="D0A524"/>
          </a:solidFill>
          <a:ln w="15875" cmpd="tri">
            <a:solidFill>
              <a:schemeClr val="tx1"/>
            </a:solidFill>
          </a:ln>
          <a:effectLst>
            <a:outerShdw blurRad="50800" dist="63500" dir="2700000" algn="tl" rotWithShape="0">
              <a:prstClr val="black">
                <a:alpha val="40000"/>
              </a:prstClr>
            </a:outerShdw>
          </a:effectLst>
        </c:spPr>
        <c:dLbl>
          <c:idx val="0"/>
          <c:layout>
            <c:manualLayout>
              <c:x val="-1.2629385409999559E-2"/>
              <c:y val="7.168059844675468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48"/>
        <c:spPr>
          <a:solidFill>
            <a:srgbClr val="997105"/>
          </a:solidFill>
          <a:ln w="15875" cmpd="tri">
            <a:solidFill>
              <a:schemeClr val="tx1"/>
            </a:solidFill>
          </a:ln>
          <a:effectLst>
            <a:outerShdw blurRad="50800" dist="63500" dir="2700000" algn="tl" rotWithShape="0">
              <a:prstClr val="black">
                <a:alpha val="40000"/>
              </a:prstClr>
            </a:outerShdw>
          </a:effectLst>
        </c:spPr>
        <c:dLbl>
          <c:idx val="0"/>
          <c:layout>
            <c:manualLayout>
              <c:x val="-3.9292678207284604E-2"/>
              <c:y val="4.999509558225139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49"/>
        <c:spPr>
          <a:solidFill>
            <a:srgbClr val="FD9E85"/>
          </a:solidFill>
          <a:ln w="15875" cmpd="tri">
            <a:solidFill>
              <a:schemeClr val="tx1"/>
            </a:solidFill>
          </a:ln>
          <a:effectLst>
            <a:outerShdw blurRad="50800" dist="63500" dir="2700000" algn="tl" rotWithShape="0">
              <a:prstClr val="black">
                <a:alpha val="40000"/>
              </a:prstClr>
            </a:outerShdw>
          </a:effectLst>
        </c:spPr>
        <c:dLbl>
          <c:idx val="0"/>
          <c:layout>
            <c:manualLayout>
              <c:x val="-2.520478890989288E-3"/>
              <c:y val="8.2135523613962921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50"/>
        <c:spPr>
          <a:solidFill>
            <a:srgbClr val="FF0000"/>
          </a:solidFill>
          <a:ln w="15875" cmpd="tri">
            <a:solidFill>
              <a:schemeClr val="tx1"/>
            </a:solidFill>
          </a:ln>
          <a:effectLst>
            <a:outerShdw blurRad="50800" dist="63500" dir="2700000" algn="tl" rotWithShape="0">
              <a:prstClr val="black">
                <a:alpha val="40000"/>
              </a:prstClr>
            </a:outerShdw>
          </a:effectLst>
        </c:spPr>
        <c:dLbl>
          <c:idx val="0"/>
          <c:layout>
            <c:manualLayout>
              <c:x val="1.4453457968037504E-2"/>
              <c:y val="1.411825575191179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51"/>
        <c:spPr>
          <a:solidFill>
            <a:srgbClr val="A800FF"/>
          </a:solidFill>
          <a:ln w="15875" cmpd="tri">
            <a:solidFill>
              <a:schemeClr val="tx1"/>
            </a:solidFill>
          </a:ln>
          <a:effectLst>
            <a:outerShdw blurRad="50800" dist="63500" dir="2700000" algn="tl" rotWithShape="0">
              <a:prstClr val="black">
                <a:alpha val="40000"/>
              </a:prstClr>
            </a:outerShdw>
          </a:effectLst>
        </c:spPr>
        <c:dLbl>
          <c:idx val="0"/>
          <c:layout>
            <c:manualLayout>
              <c:x val="1.6661556246868006E-2"/>
              <c:y val="1.999040674330492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r>
                  <a:rPr lang="en-US"/>
                  <a:t>&gt;50</a:t>
                </a:r>
              </a:p>
              <a:p>
                <a:pPr>
                  <a:defRPr sz="1200" b="1" i="0" u="none" strike="noStrike" kern="1200" spc="0" baseline="0">
                    <a:solidFill>
                      <a:schemeClr val="tx1"/>
                    </a:solidFill>
                    <a:latin typeface="+mn-lt"/>
                    <a:ea typeface="+mn-ea"/>
                    <a:cs typeface="+mn-cs"/>
                  </a:defRPr>
                </a:pPr>
                <a:fld id="{47E06479-E49D-4F0D-9AE7-5A6935D92864}" type="PERCENTAGE">
                  <a:rPr lang="en-US"/>
                  <a:pPr>
                    <a:defRPr sz="1200" b="1" i="0" u="none" strike="noStrike" kern="1200" spc="0" baseline="0">
                      <a:solidFill>
                        <a:schemeClr val="tx1"/>
                      </a:solidFill>
                      <a:latin typeface="+mn-lt"/>
                      <a:ea typeface="+mn-ea"/>
                      <a:cs typeface="+mn-cs"/>
                    </a:defRPr>
                  </a:pPr>
                  <a:t>[PERCENTAGE]</a:t>
                </a:fld>
                <a:endParaRPr lang="en-GB"/>
              </a:p>
            </c:rich>
          </c:tx>
          <c:spPr>
            <a:noFill/>
          </c:spPr>
          <c:showLegendKey val="1"/>
          <c:showVal val="0"/>
          <c:showCatName val="0"/>
          <c:showSerName val="0"/>
          <c:showPercent val="1"/>
          <c:showBubbleSize val="0"/>
          <c:separator>
</c:separator>
          <c:extLst>
            <c:ext xmlns:c15="http://schemas.microsoft.com/office/drawing/2012/chart" uri="{CE6537A1-D6FC-4f65-9D91-7224C49458BB}">
              <c15:dlblFieldTable/>
              <c15:showDataLabelsRange val="0"/>
            </c:ext>
          </c:extLst>
        </c:dLbl>
      </c:pivotFmt>
      <c:pivotFmt>
        <c:idx val="15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53"/>
        <c:spPr>
          <a:solidFill>
            <a:schemeClr val="accent1"/>
          </a:solidFill>
          <a:ln>
            <a:noFill/>
          </a:ln>
          <a:effectLst>
            <a:outerShdw blurRad="63500" sx="102000" sy="102000" algn="ctr" rotWithShape="0">
              <a:prstClr val="black">
                <a:alpha val="20000"/>
              </a:prstClr>
            </a:outerShdw>
          </a:effectLst>
        </c:spPr>
      </c:pivotFmt>
      <c:pivotFmt>
        <c:idx val="154"/>
        <c:spPr>
          <a:solidFill>
            <a:schemeClr val="accent2"/>
          </a:solidFill>
          <a:ln>
            <a:noFill/>
          </a:ln>
          <a:effectLst>
            <a:outerShdw blurRad="63500" sx="102000" sy="102000" algn="ctr" rotWithShape="0">
              <a:prstClr val="black">
                <a:alpha val="20000"/>
              </a:prstClr>
            </a:outerShdw>
          </a:effectLst>
        </c:spPr>
      </c:pivotFmt>
      <c:pivotFmt>
        <c:idx val="155"/>
        <c:spPr>
          <a:solidFill>
            <a:schemeClr val="accent3"/>
          </a:solidFill>
          <a:ln>
            <a:noFill/>
          </a:ln>
          <a:effectLst>
            <a:outerShdw blurRad="63500" sx="102000" sy="102000" algn="ctr" rotWithShape="0">
              <a:prstClr val="black">
                <a:alpha val="20000"/>
              </a:prstClr>
            </a:outerShdw>
          </a:effectLst>
        </c:spPr>
      </c:pivotFmt>
      <c:pivotFmt>
        <c:idx val="156"/>
        <c:spPr>
          <a:solidFill>
            <a:schemeClr val="accent4"/>
          </a:solidFill>
          <a:ln>
            <a:noFill/>
          </a:ln>
          <a:effectLst>
            <a:outerShdw blurRad="63500" sx="102000" sy="102000" algn="ctr" rotWithShape="0">
              <a:prstClr val="black">
                <a:alpha val="20000"/>
              </a:prstClr>
            </a:outerShdw>
          </a:effectLst>
        </c:spPr>
      </c:pivotFmt>
      <c:pivotFmt>
        <c:idx val="157"/>
        <c:spPr>
          <a:solidFill>
            <a:schemeClr val="accent5"/>
          </a:solidFill>
          <a:ln>
            <a:noFill/>
          </a:ln>
          <a:effectLst>
            <a:outerShdw blurRad="63500" sx="102000" sy="102000" algn="ctr" rotWithShape="0">
              <a:prstClr val="black">
                <a:alpha val="20000"/>
              </a:prstClr>
            </a:outerShdw>
          </a:effectLst>
        </c:spPr>
      </c:pivotFmt>
    </c:pivotFmts>
    <c:plotArea>
      <c:layout>
        <c:manualLayout>
          <c:layoutTarget val="inner"/>
          <c:xMode val="edge"/>
          <c:yMode val="edge"/>
          <c:x val="0.15138874307378244"/>
          <c:y val="0.32524665186082508"/>
          <c:w val="0.76635831632157092"/>
          <c:h val="0.58950639717043918"/>
        </c:manualLayout>
      </c:layout>
      <c:pieChart>
        <c:varyColors val="1"/>
        <c:ser>
          <c:idx val="0"/>
          <c:order val="0"/>
          <c:tx>
            <c:strRef>
              <c:f>'Statistics 2018'!$C$134</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FFEBB0"/>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0AFE-4789-89FB-A428E5623F1B}"/>
              </c:ext>
            </c:extLst>
          </c:dPt>
          <c:dPt>
            <c:idx val="1"/>
            <c:bubble3D val="0"/>
            <c:spPr>
              <a:solidFill>
                <a:srgbClr val="D0A52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0AFE-4789-89FB-A428E5623F1B}"/>
              </c:ext>
            </c:extLst>
          </c:dPt>
          <c:dPt>
            <c:idx val="2"/>
            <c:bubble3D val="0"/>
            <c:spPr>
              <a:solidFill>
                <a:srgbClr val="99710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0AFE-4789-89FB-A428E5623F1B}"/>
              </c:ext>
            </c:extLst>
          </c:dPt>
          <c:dPt>
            <c:idx val="3"/>
            <c:bubble3D val="0"/>
            <c:spPr>
              <a:solidFill>
                <a:srgbClr val="FD9E8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0AFE-4789-89FB-A428E5623F1B}"/>
              </c:ext>
            </c:extLst>
          </c:dPt>
          <c:dPt>
            <c:idx val="4"/>
            <c:bubble3D val="0"/>
            <c:spPr>
              <a:solidFill>
                <a:srgbClr val="FF0000"/>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0AFE-4789-89FB-A428E5623F1B}"/>
              </c:ext>
            </c:extLst>
          </c:dPt>
          <c:dPt>
            <c:idx val="5"/>
            <c:bubble3D val="0"/>
            <c:spPr>
              <a:solidFill>
                <a:srgbClr val="A800FF"/>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B-0AFE-4789-89FB-A428E5623F1B}"/>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AFE-4789-89FB-A428E5623F1B}"/>
                </c:ext>
              </c:extLst>
            </c:dLbl>
            <c:dLbl>
              <c:idx val="1"/>
              <c:layout>
                <c:manualLayout>
                  <c:x val="0"/>
                  <c:y val="-2.328614906042727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AFE-4789-89FB-A428E5623F1B}"/>
                </c:ext>
              </c:extLst>
            </c:dLbl>
            <c:dLbl>
              <c:idx val="2"/>
              <c:layout>
                <c:manualLayout>
                  <c:x val="-3.9292678207284604E-2"/>
                  <c:y val="4.999509558225139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AFE-4789-89FB-A428E5623F1B}"/>
                </c:ext>
              </c:extLst>
            </c:dLbl>
            <c:dLbl>
              <c:idx val="3"/>
              <c:layout>
                <c:manualLayout>
                  <c:x val="-1.7335277534752599E-2"/>
                  <c:y val="1.960951462263798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AFE-4789-89FB-A428E5623F1B}"/>
                </c:ext>
              </c:extLst>
            </c:dLbl>
            <c:dLbl>
              <c:idx val="4"/>
              <c:layout>
                <c:manualLayout>
                  <c:x val="4.4083211820744629E-2"/>
                  <c:y val="-2.3868811270386075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AFE-4789-89FB-A428E5623F1B}"/>
                </c:ext>
              </c:extLst>
            </c:dLbl>
            <c:dLbl>
              <c:idx val="5"/>
              <c:layout>
                <c:manualLayout>
                  <c:x val="8.5797219791970442E-2"/>
                  <c:y val="8.5942675968922692E-3"/>
                </c:manualLayout>
              </c:layout>
              <c:tx>
                <c:rich>
                  <a:bodyPr/>
                  <a:lstStyle/>
                  <a:p>
                    <a:r>
                      <a:rPr lang="en-US"/>
                      <a:t>&gt;50</a:t>
                    </a:r>
                  </a:p>
                  <a:p>
                    <a:fld id="{47E06479-E49D-4F0D-9AE7-5A6935D92864}" type="PERCENTAGE">
                      <a:rPr lang="en-US"/>
                      <a:pPr/>
                      <a:t>[PERCENTAGE]</a:t>
                    </a:fld>
                    <a:endParaRPr lang="en-GB"/>
                  </a:p>
                </c:rich>
              </c:tx>
              <c:showLegendKey val="1"/>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0AFE-4789-89FB-A428E5623F1B}"/>
                </c:ext>
              </c:extLst>
            </c:dLbl>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showLeaderLines val="0"/>
            <c:extLst>
              <c:ext xmlns:c15="http://schemas.microsoft.com/office/drawing/2012/chart" uri="{CE6537A1-D6FC-4f65-9D91-7224C49458BB}"/>
            </c:extLst>
          </c:dLbls>
          <c:cat>
            <c:strRef>
              <c:f>'Statistics 2018'!$B$135:$B$141</c:f>
              <c:strCache>
                <c:ptCount val="6"/>
                <c:pt idx="0">
                  <c:v>0</c:v>
                </c:pt>
                <c:pt idx="1">
                  <c:v>1</c:v>
                </c:pt>
                <c:pt idx="2">
                  <c:v>&lt; 5</c:v>
                </c:pt>
                <c:pt idx="3">
                  <c:v>&lt; 10</c:v>
                </c:pt>
                <c:pt idx="4">
                  <c:v>&lt; 50</c:v>
                </c:pt>
                <c:pt idx="5">
                  <c:v>&gt; 50</c:v>
                </c:pt>
              </c:strCache>
            </c:strRef>
          </c:cat>
          <c:val>
            <c:numRef>
              <c:f>'Statistics 2018'!$C$135:$C$141</c:f>
              <c:numCache>
                <c:formatCode>0</c:formatCode>
                <c:ptCount val="6"/>
                <c:pt idx="0">
                  <c:v>124</c:v>
                </c:pt>
                <c:pt idx="1">
                  <c:v>15</c:v>
                </c:pt>
                <c:pt idx="2">
                  <c:v>13</c:v>
                </c:pt>
                <c:pt idx="3">
                  <c:v>4</c:v>
                </c:pt>
                <c:pt idx="4">
                  <c:v>4</c:v>
                </c:pt>
                <c:pt idx="5">
                  <c:v>5</c:v>
                </c:pt>
              </c:numCache>
            </c:numRef>
          </c:val>
          <c:extLst>
            <c:ext xmlns:c16="http://schemas.microsoft.com/office/drawing/2014/chart" uri="{C3380CC4-5D6E-409C-BE32-E72D297353CC}">
              <c16:uniqueId val="{0000000C-0AFE-4789-89FB-A428E5623F1B}"/>
            </c:ext>
          </c:extLst>
        </c:ser>
        <c:ser>
          <c:idx val="1"/>
          <c:order val="1"/>
          <c:tx>
            <c:strRef>
              <c:f>'Statistics 2018'!$D$134</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0AFE-4789-89FB-A428E5623F1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0AFE-4789-89FB-A428E5623F1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0AFE-4789-89FB-A428E5623F1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0AFE-4789-89FB-A428E5623F1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0AFE-4789-89FB-A428E5623F1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2018'!$B$135:$B$141</c:f>
              <c:strCache>
                <c:ptCount val="6"/>
                <c:pt idx="0">
                  <c:v>0</c:v>
                </c:pt>
                <c:pt idx="1">
                  <c:v>1</c:v>
                </c:pt>
                <c:pt idx="2">
                  <c:v>&lt; 5</c:v>
                </c:pt>
                <c:pt idx="3">
                  <c:v>&lt; 10</c:v>
                </c:pt>
                <c:pt idx="4">
                  <c:v>&lt; 50</c:v>
                </c:pt>
                <c:pt idx="5">
                  <c:v>&gt; 50</c:v>
                </c:pt>
              </c:strCache>
            </c:strRef>
          </c:cat>
          <c:val>
            <c:numRef>
              <c:f>'Statistics 2018'!$D$135:$D$141</c:f>
              <c:numCache>
                <c:formatCode>0%</c:formatCode>
                <c:ptCount val="6"/>
                <c:pt idx="0">
                  <c:v>0.75151515151515147</c:v>
                </c:pt>
                <c:pt idx="1">
                  <c:v>9.0909090909090912E-2</c:v>
                </c:pt>
                <c:pt idx="2">
                  <c:v>7.8787878787878782E-2</c:v>
                </c:pt>
                <c:pt idx="3">
                  <c:v>2.4242424242424242E-2</c:v>
                </c:pt>
                <c:pt idx="4">
                  <c:v>2.4242424242424242E-2</c:v>
                </c:pt>
                <c:pt idx="5">
                  <c:v>3.0303030303030304E-2</c:v>
                </c:pt>
              </c:numCache>
            </c:numRef>
          </c:val>
          <c:extLst>
            <c:ext xmlns:c16="http://schemas.microsoft.com/office/drawing/2014/chart" uri="{C3380CC4-5D6E-409C-BE32-E72D297353CC}">
              <c16:uniqueId val="{00000017-0AFE-4789-89FB-A428E5623F1B}"/>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2018!PivotTable7</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400" cap="none" baseline="0"/>
              <a:t>Exemptions per Accessible Taxi per authority</a:t>
            </a:r>
          </a:p>
        </c:rich>
      </c:tx>
      <c:layout>
        <c:manualLayout>
          <c:xMode val="edge"/>
          <c:yMode val="edge"/>
          <c:x val="0.14151060254158879"/>
          <c:y val="3.4285714285714287E-2"/>
        </c:manualLayout>
      </c:layout>
      <c:overlay val="0"/>
      <c:spPr>
        <a:noFill/>
        <a:ln>
          <a:noFill/>
        </a:ln>
        <a:effectLst/>
      </c:sp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661872970094137"/>
              <c:y val="-1.8763288391768128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pivotFmt>
      <c:pivotFmt>
        <c:idx val="31"/>
        <c:spPr>
          <a:solidFill>
            <a:schemeClr val="accent2"/>
          </a:solidFill>
          <a:ln>
            <a:noFill/>
          </a:ln>
          <a:effectLst>
            <a:outerShdw blurRad="63500" sx="102000" sy="102000" algn="ctr" rotWithShape="0">
              <a:prstClr val="black">
                <a:alpha val="20000"/>
              </a:prstClr>
            </a:outerShdw>
          </a:effectLst>
        </c:spPr>
      </c:pivotFmt>
      <c:pivotFmt>
        <c:idx val="32"/>
        <c:spPr>
          <a:solidFill>
            <a:schemeClr val="accent3"/>
          </a:solidFill>
          <a:ln>
            <a:noFill/>
          </a:ln>
          <a:effectLst>
            <a:outerShdw blurRad="63500" sx="102000" sy="102000" algn="ctr" rotWithShape="0">
              <a:prstClr val="black">
                <a:alpha val="20000"/>
              </a:prstClr>
            </a:outerShdw>
          </a:effectLst>
        </c:spPr>
      </c:pivotFmt>
      <c:pivotFmt>
        <c:idx val="33"/>
        <c:spPr>
          <a:solidFill>
            <a:schemeClr val="accent4"/>
          </a:solidFill>
          <a:ln>
            <a:noFill/>
          </a:ln>
          <a:effectLst>
            <a:outerShdw blurRad="63500" sx="102000" sy="102000" algn="ctr" rotWithShape="0">
              <a:prstClr val="black">
                <a:alpha val="20000"/>
              </a:prstClr>
            </a:outerShdw>
          </a:effectLst>
        </c:spPr>
      </c:pivotFmt>
      <c:pivotFmt>
        <c:idx val="34"/>
        <c:spPr>
          <a:solidFill>
            <a:schemeClr val="accent5"/>
          </a:solidFill>
          <a:ln>
            <a:noFill/>
          </a:ln>
          <a:effectLst>
            <a:outerShdw blurRad="63500" sx="102000" sy="102000" algn="ctr" rotWithShape="0">
              <a:prstClr val="black">
                <a:alpha val="20000"/>
              </a:prstClr>
            </a:outerShdw>
          </a:effectLst>
        </c:spPr>
      </c:pivotFmt>
      <c:pivotFmt>
        <c:idx val="3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pivotFmt>
      <c:pivotFmt>
        <c:idx val="43"/>
        <c:spPr>
          <a:solidFill>
            <a:schemeClr val="accent2"/>
          </a:solidFill>
          <a:ln>
            <a:noFill/>
          </a:ln>
          <a:effectLst>
            <a:outerShdw blurRad="63500" sx="102000" sy="102000" algn="ctr" rotWithShape="0">
              <a:prstClr val="black">
                <a:alpha val="20000"/>
              </a:prstClr>
            </a:outerShdw>
          </a:effectLst>
        </c:spPr>
      </c:pivotFmt>
      <c:pivotFmt>
        <c:idx val="44"/>
        <c:spPr>
          <a:solidFill>
            <a:schemeClr val="accent3"/>
          </a:solidFill>
          <a:ln>
            <a:noFill/>
          </a:ln>
          <a:effectLst>
            <a:outerShdw blurRad="63500" sx="102000" sy="102000" algn="ctr" rotWithShape="0">
              <a:prstClr val="black">
                <a:alpha val="20000"/>
              </a:prstClr>
            </a:outerShdw>
          </a:effectLst>
        </c:spPr>
      </c:pivotFmt>
      <c:pivotFmt>
        <c:idx val="45"/>
        <c:spPr>
          <a:solidFill>
            <a:schemeClr val="accent4"/>
          </a:solidFill>
          <a:ln>
            <a:noFill/>
          </a:ln>
          <a:effectLst>
            <a:outerShdw blurRad="63500" sx="102000" sy="102000" algn="ctr" rotWithShape="0">
              <a:prstClr val="black">
                <a:alpha val="20000"/>
              </a:prstClr>
            </a:outerShdw>
          </a:effectLst>
        </c:spPr>
      </c:pivotFmt>
      <c:pivotFmt>
        <c:idx val="46"/>
        <c:spPr>
          <a:solidFill>
            <a:schemeClr val="accent5"/>
          </a:solidFill>
          <a:ln>
            <a:noFill/>
          </a:ln>
          <a:effectLst>
            <a:outerShdw blurRad="63500" sx="102000" sy="102000" algn="ctr" rotWithShape="0">
              <a:prstClr val="black">
                <a:alpha val="20000"/>
              </a:prstClr>
            </a:outerShdw>
          </a:effectLst>
        </c:spPr>
      </c:pivotFmt>
      <c:pivotFmt>
        <c:idx val="4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4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9"/>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pivotFmt>
      <c:pivotFmt>
        <c:idx val="55"/>
        <c:spPr>
          <a:solidFill>
            <a:schemeClr val="accent2"/>
          </a:solidFill>
          <a:ln>
            <a:noFill/>
          </a:ln>
          <a:effectLst>
            <a:outerShdw blurRad="63500" sx="102000" sy="102000" algn="ctr" rotWithShape="0">
              <a:prstClr val="black">
                <a:alpha val="20000"/>
              </a:prstClr>
            </a:outerShdw>
          </a:effectLst>
        </c:spPr>
      </c:pivotFmt>
      <c:pivotFmt>
        <c:idx val="56"/>
        <c:spPr>
          <a:solidFill>
            <a:schemeClr val="accent3"/>
          </a:solidFill>
          <a:ln>
            <a:noFill/>
          </a:ln>
          <a:effectLst>
            <a:outerShdw blurRad="63500" sx="102000" sy="102000" algn="ctr" rotWithShape="0">
              <a:prstClr val="black">
                <a:alpha val="20000"/>
              </a:prstClr>
            </a:outerShdw>
          </a:effectLst>
        </c:spPr>
      </c:pivotFmt>
      <c:pivotFmt>
        <c:idx val="57"/>
        <c:spPr>
          <a:solidFill>
            <a:schemeClr val="accent4"/>
          </a:solidFill>
          <a:ln>
            <a:noFill/>
          </a:ln>
          <a:effectLst>
            <a:outerShdw blurRad="63500" sx="102000" sy="102000" algn="ctr" rotWithShape="0">
              <a:prstClr val="black">
                <a:alpha val="20000"/>
              </a:prstClr>
            </a:outerShdw>
          </a:effectLst>
        </c:spPr>
      </c:pivotFmt>
      <c:pivotFmt>
        <c:idx val="58"/>
        <c:spPr>
          <a:solidFill>
            <a:schemeClr val="accent5"/>
          </a:solidFill>
          <a:ln>
            <a:noFill/>
          </a:ln>
          <a:effectLst>
            <a:outerShdw blurRad="63500" sx="102000" sy="102000" algn="ctr" rotWithShape="0">
              <a:prstClr val="black">
                <a:alpha val="20000"/>
              </a:prstClr>
            </a:outerShdw>
          </a:effectLst>
        </c:spPr>
      </c:pivotFmt>
      <c:pivotFmt>
        <c:idx val="5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1"/>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2"/>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63"/>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pivotFmt>
      <c:pivotFmt>
        <c:idx val="67"/>
        <c:spPr>
          <a:solidFill>
            <a:schemeClr val="accent2"/>
          </a:solidFill>
          <a:ln>
            <a:noFill/>
          </a:ln>
          <a:effectLst>
            <a:outerShdw blurRad="63500" sx="102000" sy="102000" algn="ctr" rotWithShape="0">
              <a:prstClr val="black">
                <a:alpha val="20000"/>
              </a:prstClr>
            </a:outerShdw>
          </a:effectLst>
        </c:spPr>
      </c:pivotFmt>
      <c:pivotFmt>
        <c:idx val="68"/>
        <c:spPr>
          <a:solidFill>
            <a:schemeClr val="accent3"/>
          </a:solidFill>
          <a:ln>
            <a:noFill/>
          </a:ln>
          <a:effectLst>
            <a:outerShdw blurRad="63500" sx="102000" sy="102000" algn="ctr" rotWithShape="0">
              <a:prstClr val="black">
                <a:alpha val="20000"/>
              </a:prstClr>
            </a:outerShdw>
          </a:effectLst>
        </c:spPr>
      </c:pivotFmt>
      <c:pivotFmt>
        <c:idx val="69"/>
        <c:spPr>
          <a:solidFill>
            <a:schemeClr val="accent4"/>
          </a:solidFill>
          <a:ln>
            <a:noFill/>
          </a:ln>
          <a:effectLst>
            <a:outerShdw blurRad="63500" sx="102000" sy="102000" algn="ctr" rotWithShape="0">
              <a:prstClr val="black">
                <a:alpha val="20000"/>
              </a:prstClr>
            </a:outerShdw>
          </a:effectLst>
        </c:spPr>
      </c:pivotFmt>
      <c:pivotFmt>
        <c:idx val="70"/>
        <c:spPr>
          <a:solidFill>
            <a:schemeClr val="accent5"/>
          </a:solidFill>
          <a:ln>
            <a:noFill/>
          </a:ln>
          <a:effectLst>
            <a:outerShdw blurRad="63500" sx="102000" sy="102000" algn="ctr" rotWithShape="0">
              <a:prstClr val="black">
                <a:alpha val="20000"/>
              </a:prstClr>
            </a:outerShdw>
          </a:effectLst>
        </c:spPr>
      </c:pivotFmt>
      <c:pivotFmt>
        <c:idx val="7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3"/>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4"/>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5"/>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6"/>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pivotFmt>
      <c:pivotFmt>
        <c:idx val="79"/>
        <c:spPr>
          <a:solidFill>
            <a:schemeClr val="accent2"/>
          </a:solidFill>
          <a:ln>
            <a:noFill/>
          </a:ln>
          <a:effectLst>
            <a:outerShdw blurRad="63500" sx="102000" sy="102000" algn="ctr" rotWithShape="0">
              <a:prstClr val="black">
                <a:alpha val="20000"/>
              </a:prstClr>
            </a:outerShdw>
          </a:effectLst>
        </c:spPr>
      </c:pivotFmt>
      <c:pivotFmt>
        <c:idx val="80"/>
        <c:spPr>
          <a:solidFill>
            <a:schemeClr val="accent3"/>
          </a:solidFill>
          <a:ln>
            <a:noFill/>
          </a:ln>
          <a:effectLst>
            <a:outerShdw blurRad="63500" sx="102000" sy="102000" algn="ctr" rotWithShape="0">
              <a:prstClr val="black">
                <a:alpha val="20000"/>
              </a:prstClr>
            </a:outerShdw>
          </a:effectLst>
        </c:spPr>
      </c:pivotFmt>
      <c:pivotFmt>
        <c:idx val="81"/>
        <c:spPr>
          <a:solidFill>
            <a:schemeClr val="accent4"/>
          </a:solidFill>
          <a:ln>
            <a:noFill/>
          </a:ln>
          <a:effectLst>
            <a:outerShdw blurRad="63500" sx="102000" sy="102000" algn="ctr" rotWithShape="0">
              <a:prstClr val="black">
                <a:alpha val="20000"/>
              </a:prstClr>
            </a:outerShdw>
          </a:effectLst>
        </c:spPr>
      </c:pivotFmt>
      <c:pivotFmt>
        <c:idx val="82"/>
        <c:spPr>
          <a:solidFill>
            <a:schemeClr val="accent5"/>
          </a:solidFill>
          <a:ln>
            <a:noFill/>
          </a:ln>
          <a:effectLst>
            <a:outerShdw blurRad="63500" sx="102000" sy="102000" algn="ctr" rotWithShape="0">
              <a:prstClr val="black">
                <a:alpha val="20000"/>
              </a:prstClr>
            </a:outerShdw>
          </a:effectLst>
        </c:spPr>
      </c:pivotFmt>
      <c:pivotFmt>
        <c:idx val="83"/>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8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5"/>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8"/>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pivotFmt>
      <c:pivotFmt>
        <c:idx val="91"/>
        <c:spPr>
          <a:solidFill>
            <a:schemeClr val="accent2"/>
          </a:solidFill>
          <a:ln>
            <a:noFill/>
          </a:ln>
          <a:effectLst>
            <a:outerShdw blurRad="63500" sx="102000" sy="102000" algn="ctr" rotWithShape="0">
              <a:prstClr val="black">
                <a:alpha val="20000"/>
              </a:prstClr>
            </a:outerShdw>
          </a:effectLst>
        </c:spPr>
      </c:pivotFmt>
      <c:pivotFmt>
        <c:idx val="92"/>
        <c:spPr>
          <a:solidFill>
            <a:schemeClr val="accent3"/>
          </a:solidFill>
          <a:ln>
            <a:noFill/>
          </a:ln>
          <a:effectLst>
            <a:outerShdw blurRad="63500" sx="102000" sy="102000" algn="ctr" rotWithShape="0">
              <a:prstClr val="black">
                <a:alpha val="20000"/>
              </a:prstClr>
            </a:outerShdw>
          </a:effectLst>
        </c:spPr>
      </c:pivotFmt>
      <c:pivotFmt>
        <c:idx val="93"/>
        <c:spPr>
          <a:solidFill>
            <a:schemeClr val="accent4"/>
          </a:solidFill>
          <a:ln>
            <a:noFill/>
          </a:ln>
          <a:effectLst>
            <a:outerShdw blurRad="63500" sx="102000" sy="102000" algn="ctr" rotWithShape="0">
              <a:prstClr val="black">
                <a:alpha val="20000"/>
              </a:prstClr>
            </a:outerShdw>
          </a:effectLst>
        </c:spPr>
      </c:pivotFmt>
      <c:pivotFmt>
        <c:idx val="94"/>
        <c:spPr>
          <a:solidFill>
            <a:schemeClr val="accent5"/>
          </a:solidFill>
          <a:ln>
            <a:noFill/>
          </a:ln>
          <a:effectLst>
            <a:outerShdw blurRad="63500" sx="102000" sy="102000" algn="ctr" rotWithShape="0">
              <a:prstClr val="black">
                <a:alpha val="20000"/>
              </a:prstClr>
            </a:outerShdw>
          </a:effectLst>
        </c:spPr>
      </c:pivotFmt>
      <c:pivotFmt>
        <c:idx val="9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9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7"/>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0"/>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0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pivotFmt>
      <c:pivotFmt>
        <c:idx val="103"/>
        <c:spPr>
          <a:solidFill>
            <a:schemeClr val="accent2"/>
          </a:solidFill>
          <a:ln>
            <a:noFill/>
          </a:ln>
          <a:effectLst>
            <a:outerShdw blurRad="63500" sx="102000" sy="102000" algn="ctr" rotWithShape="0">
              <a:prstClr val="black">
                <a:alpha val="20000"/>
              </a:prstClr>
            </a:outerShdw>
          </a:effectLst>
        </c:spPr>
      </c:pivotFmt>
      <c:pivotFmt>
        <c:idx val="104"/>
        <c:spPr>
          <a:solidFill>
            <a:schemeClr val="accent3"/>
          </a:solidFill>
          <a:ln>
            <a:noFill/>
          </a:ln>
          <a:effectLst>
            <a:outerShdw blurRad="63500" sx="102000" sy="102000" algn="ctr" rotWithShape="0">
              <a:prstClr val="black">
                <a:alpha val="20000"/>
              </a:prstClr>
            </a:outerShdw>
          </a:effectLst>
        </c:spPr>
      </c:pivotFmt>
      <c:pivotFmt>
        <c:idx val="105"/>
        <c:spPr>
          <a:solidFill>
            <a:schemeClr val="accent4"/>
          </a:solidFill>
          <a:ln>
            <a:noFill/>
          </a:ln>
          <a:effectLst>
            <a:outerShdw blurRad="63500" sx="102000" sy="102000" algn="ctr" rotWithShape="0">
              <a:prstClr val="black">
                <a:alpha val="20000"/>
              </a:prstClr>
            </a:outerShdw>
          </a:effectLst>
        </c:spPr>
      </c:pivotFmt>
      <c:pivotFmt>
        <c:idx val="106"/>
        <c:spPr>
          <a:solidFill>
            <a:schemeClr val="accent5"/>
          </a:solidFill>
          <a:ln>
            <a:noFill/>
          </a:ln>
          <a:effectLst>
            <a:outerShdw blurRad="63500" sx="102000" sy="102000" algn="ctr" rotWithShape="0">
              <a:prstClr val="black">
                <a:alpha val="20000"/>
              </a:prstClr>
            </a:outerShdw>
          </a:effectLst>
        </c:spPr>
      </c:pivotFmt>
      <c:pivotFmt>
        <c:idx val="10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0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9"/>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1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pivotFmt>
      <c:pivotFmt>
        <c:idx val="115"/>
        <c:spPr>
          <a:solidFill>
            <a:schemeClr val="accent2"/>
          </a:solidFill>
          <a:ln>
            <a:noFill/>
          </a:ln>
          <a:effectLst>
            <a:outerShdw blurRad="63500" sx="102000" sy="102000" algn="ctr" rotWithShape="0">
              <a:prstClr val="black">
                <a:alpha val="20000"/>
              </a:prstClr>
            </a:outerShdw>
          </a:effectLst>
        </c:spPr>
      </c:pivotFmt>
      <c:pivotFmt>
        <c:idx val="116"/>
        <c:spPr>
          <a:solidFill>
            <a:schemeClr val="accent3"/>
          </a:solidFill>
          <a:ln>
            <a:noFill/>
          </a:ln>
          <a:effectLst>
            <a:outerShdw blurRad="63500" sx="102000" sy="102000" algn="ctr" rotWithShape="0">
              <a:prstClr val="black">
                <a:alpha val="20000"/>
              </a:prstClr>
            </a:outerShdw>
          </a:effectLst>
        </c:spPr>
      </c:pivotFmt>
      <c:pivotFmt>
        <c:idx val="117"/>
        <c:spPr>
          <a:solidFill>
            <a:schemeClr val="accent4"/>
          </a:solidFill>
          <a:ln>
            <a:noFill/>
          </a:ln>
          <a:effectLst>
            <a:outerShdw blurRad="63500" sx="102000" sy="102000" algn="ctr" rotWithShape="0">
              <a:prstClr val="black">
                <a:alpha val="20000"/>
              </a:prstClr>
            </a:outerShdw>
          </a:effectLst>
        </c:spPr>
      </c:pivotFmt>
      <c:pivotFmt>
        <c:idx val="118"/>
        <c:spPr>
          <a:solidFill>
            <a:schemeClr val="accent5"/>
          </a:solidFill>
          <a:ln>
            <a:noFill/>
          </a:ln>
          <a:effectLst>
            <a:outerShdw blurRad="63500" sx="102000" sy="102000" algn="ctr" rotWithShape="0">
              <a:prstClr val="black">
                <a:alpha val="20000"/>
              </a:prstClr>
            </a:outerShdw>
          </a:effectLst>
        </c:spPr>
      </c:pivotFmt>
      <c:pivotFmt>
        <c:idx val="119"/>
        <c:spPr>
          <a:ln w="15875" cmpd="tri">
            <a:solidFill>
              <a:schemeClr val="tx1"/>
            </a:solidFill>
          </a:ln>
          <a:effectLst>
            <a:outerShdw blurRad="50800" dist="63500" dir="2700000" algn="tl" rotWithShape="0">
              <a:prstClr val="black">
                <a:alpha val="40000"/>
              </a:prstClr>
            </a:outerShdw>
          </a:effectLst>
        </c:spPr>
        <c:marker>
          <c:symbol val="none"/>
        </c:marker>
        <c:dLbl>
          <c:idx val="0"/>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extLst>
            <c:ext xmlns:c15="http://schemas.microsoft.com/office/drawing/2012/chart" uri="{CE6537A1-D6FC-4f65-9D91-7224C49458BB}"/>
          </c:extLst>
        </c:dLbl>
      </c:pivotFmt>
      <c:pivotFmt>
        <c:idx val="12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Lst>
        </c:dLbl>
      </c:pivotFmt>
      <c:pivotFmt>
        <c:idx val="121"/>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0179223159235289E-2"/>
              <c:y val="0.1856737160728472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2"/>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3.378250591016544E-2"/>
              <c:y val="1.493810400136764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3"/>
        <c:spPr>
          <a:solidFill>
            <a:srgbClr val="FFC267"/>
          </a:solidFill>
          <a:ln w="15875" cmpd="tri">
            <a:solidFill>
              <a:schemeClr val="tx1"/>
            </a:solidFill>
          </a:ln>
          <a:effectLst>
            <a:outerShdw blurRad="50800" dist="63500" dir="2700000" algn="tl" rotWithShape="0">
              <a:prstClr val="black">
                <a:alpha val="40000"/>
              </a:prstClr>
            </a:outerShdw>
          </a:effectLst>
        </c:spPr>
        <c:dLbl>
          <c:idx val="0"/>
          <c:layout>
            <c:manualLayout>
              <c:x val="-3.5460992907801421E-2"/>
              <c:y val="-2.554278416347370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4"/>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9068334543288473E-2"/>
              <c:y val="-8.789533492221507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26"/>
        <c:spPr>
          <a:solidFill>
            <a:schemeClr val="accent1"/>
          </a:solidFill>
          <a:ln>
            <a:noFill/>
          </a:ln>
          <a:effectLst>
            <a:outerShdw blurRad="63500" sx="102000" sy="102000" algn="ctr" rotWithShape="0">
              <a:prstClr val="black">
                <a:alpha val="20000"/>
              </a:prstClr>
            </a:outerShdw>
          </a:effectLst>
        </c:spPr>
      </c:pivotFmt>
      <c:pivotFmt>
        <c:idx val="127"/>
        <c:spPr>
          <a:solidFill>
            <a:schemeClr val="accent2"/>
          </a:solidFill>
          <a:ln>
            <a:noFill/>
          </a:ln>
          <a:effectLst>
            <a:outerShdw blurRad="63500" sx="102000" sy="102000" algn="ctr" rotWithShape="0">
              <a:prstClr val="black">
                <a:alpha val="20000"/>
              </a:prstClr>
            </a:outerShdw>
          </a:effectLst>
        </c:spPr>
      </c:pivotFmt>
      <c:pivotFmt>
        <c:idx val="128"/>
        <c:spPr>
          <a:solidFill>
            <a:schemeClr val="accent3"/>
          </a:solidFill>
          <a:ln>
            <a:noFill/>
          </a:ln>
          <a:effectLst>
            <a:outerShdw blurRad="63500" sx="102000" sy="102000" algn="ctr" rotWithShape="0">
              <a:prstClr val="black">
                <a:alpha val="20000"/>
              </a:prstClr>
            </a:outerShdw>
          </a:effectLst>
        </c:spPr>
      </c:pivotFmt>
      <c:pivotFmt>
        <c:idx val="129"/>
        <c:spPr>
          <a:solidFill>
            <a:schemeClr val="accent4"/>
          </a:solidFill>
          <a:ln>
            <a:noFill/>
          </a:ln>
          <a:effectLst>
            <a:outerShdw blurRad="63500" sx="102000" sy="102000" algn="ctr" rotWithShape="0">
              <a:prstClr val="black">
                <a:alpha val="20000"/>
              </a:prstClr>
            </a:outerShdw>
          </a:effectLst>
        </c:spPr>
      </c:pivotFmt>
      <c:pivotFmt>
        <c:idx val="130"/>
        <c:spPr>
          <a:solidFill>
            <a:schemeClr val="accent5"/>
          </a:solidFill>
          <a:ln>
            <a:noFill/>
          </a:ln>
          <a:effectLst>
            <a:outerShdw blurRad="63500" sx="102000" sy="102000" algn="ctr" rotWithShape="0">
              <a:prstClr val="black">
                <a:alpha val="20000"/>
              </a:prstClr>
            </a:outerShdw>
          </a:effectLst>
        </c:spPr>
      </c:pivotFmt>
      <c:pivotFmt>
        <c:idx val="131"/>
        <c:spPr>
          <a:ln w="15875" cmpd="tri">
            <a:solidFill>
              <a:schemeClr val="tx1"/>
            </a:solidFill>
          </a:ln>
          <a:effectLst>
            <a:outerShdw blurRad="50800" dist="63500" dir="2700000" algn="tl" rotWithShape="0">
              <a:prstClr val="black">
                <a:alpha val="40000"/>
              </a:prstClr>
            </a:outerShdw>
          </a:effectLst>
        </c:spPr>
        <c:marker>
          <c:symbol val="none"/>
        </c:marker>
        <c:dLbl>
          <c:idx val="0"/>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extLst>
            <c:ext xmlns:c15="http://schemas.microsoft.com/office/drawing/2012/chart" uri="{CE6537A1-D6FC-4f65-9D91-7224C49458BB}"/>
          </c:extLst>
        </c:dLbl>
      </c:pivotFmt>
      <c:pivotFmt>
        <c:idx val="13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Lst>
        </c:dLbl>
      </c:pivotFmt>
      <c:pivotFmt>
        <c:idx val="133"/>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0179223159235289E-2"/>
              <c:y val="0.1856737160728472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4"/>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3.378250591016544E-2"/>
              <c:y val="1.493810400136764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5"/>
        <c:spPr>
          <a:solidFill>
            <a:srgbClr val="FFC267"/>
          </a:solidFill>
          <a:ln w="15875" cmpd="tri">
            <a:solidFill>
              <a:schemeClr val="tx1"/>
            </a:solidFill>
          </a:ln>
          <a:effectLst>
            <a:outerShdw blurRad="50800" dist="63500" dir="2700000" algn="tl" rotWithShape="0">
              <a:prstClr val="black">
                <a:alpha val="40000"/>
              </a:prstClr>
            </a:outerShdw>
          </a:effectLst>
        </c:spPr>
        <c:dLbl>
          <c:idx val="0"/>
          <c:layout>
            <c:manualLayout>
              <c:x val="-3.5460992907801421E-2"/>
              <c:y val="-2.554278416347370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6"/>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9068334543288473E-2"/>
              <c:y val="-8.789533492221507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3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38"/>
        <c:spPr>
          <a:solidFill>
            <a:schemeClr val="accent1"/>
          </a:solidFill>
          <a:ln>
            <a:noFill/>
          </a:ln>
          <a:effectLst>
            <a:outerShdw blurRad="63500" sx="102000" sy="102000" algn="ctr" rotWithShape="0">
              <a:prstClr val="black">
                <a:alpha val="20000"/>
              </a:prstClr>
            </a:outerShdw>
          </a:effectLst>
        </c:spPr>
      </c:pivotFmt>
      <c:pivotFmt>
        <c:idx val="139"/>
        <c:spPr>
          <a:solidFill>
            <a:schemeClr val="accent2"/>
          </a:solidFill>
          <a:ln>
            <a:noFill/>
          </a:ln>
          <a:effectLst>
            <a:outerShdw blurRad="63500" sx="102000" sy="102000" algn="ctr" rotWithShape="0">
              <a:prstClr val="black">
                <a:alpha val="20000"/>
              </a:prstClr>
            </a:outerShdw>
          </a:effectLst>
        </c:spPr>
      </c:pivotFmt>
      <c:pivotFmt>
        <c:idx val="140"/>
        <c:spPr>
          <a:solidFill>
            <a:schemeClr val="accent3"/>
          </a:solidFill>
          <a:ln>
            <a:noFill/>
          </a:ln>
          <a:effectLst>
            <a:outerShdw blurRad="63500" sx="102000" sy="102000" algn="ctr" rotWithShape="0">
              <a:prstClr val="black">
                <a:alpha val="20000"/>
              </a:prstClr>
            </a:outerShdw>
          </a:effectLst>
        </c:spPr>
      </c:pivotFmt>
      <c:pivotFmt>
        <c:idx val="141"/>
        <c:spPr>
          <a:solidFill>
            <a:schemeClr val="accent4"/>
          </a:solidFill>
          <a:ln>
            <a:noFill/>
          </a:ln>
          <a:effectLst>
            <a:outerShdw blurRad="63500" sx="102000" sy="102000" algn="ctr" rotWithShape="0">
              <a:prstClr val="black">
                <a:alpha val="20000"/>
              </a:prstClr>
            </a:outerShdw>
          </a:effectLst>
        </c:spPr>
      </c:pivotFmt>
      <c:pivotFmt>
        <c:idx val="142"/>
        <c:spPr>
          <a:solidFill>
            <a:schemeClr val="accent5"/>
          </a:solidFill>
          <a:ln>
            <a:noFill/>
          </a:ln>
          <a:effectLst>
            <a:outerShdw blurRad="63500" sx="102000" sy="102000" algn="ctr" rotWithShape="0">
              <a:prstClr val="black">
                <a:alpha val="20000"/>
              </a:prstClr>
            </a:outerShdw>
          </a:effectLst>
        </c:spPr>
      </c:pivotFmt>
      <c:pivotFmt>
        <c:idx val="143"/>
        <c:spPr>
          <a:ln w="15875" cmpd="tri">
            <a:solidFill>
              <a:schemeClr val="tx1"/>
            </a:solidFill>
          </a:ln>
          <a:effectLst>
            <a:outerShdw blurRad="50800" dist="63500" dir="2700000" algn="tl" rotWithShape="0">
              <a:prstClr val="black">
                <a:alpha val="40000"/>
              </a:prstClr>
            </a:outerShdw>
          </a:effectLst>
        </c:spPr>
        <c:marker>
          <c:symbol val="none"/>
        </c:marker>
        <c:dLbl>
          <c:idx val="0"/>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extLst>
            <c:ext xmlns:c15="http://schemas.microsoft.com/office/drawing/2012/chart" uri="{CE6537A1-D6FC-4f65-9D91-7224C49458BB}"/>
          </c:extLst>
        </c:dLbl>
      </c:pivotFmt>
      <c:pivotFmt>
        <c:idx val="14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Lst>
        </c:dLbl>
      </c:pivotFmt>
      <c:pivotFmt>
        <c:idx val="145"/>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0179223159235289E-2"/>
              <c:y val="0.1856737160728472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4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3.378250591016544E-2"/>
              <c:y val="1.493810400136764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47"/>
        <c:spPr>
          <a:solidFill>
            <a:srgbClr val="FFC267"/>
          </a:solidFill>
          <a:ln w="15875" cmpd="tri">
            <a:solidFill>
              <a:schemeClr val="tx1"/>
            </a:solidFill>
          </a:ln>
          <a:effectLst>
            <a:outerShdw blurRad="50800" dist="63500" dir="2700000" algn="tl" rotWithShape="0">
              <a:prstClr val="black">
                <a:alpha val="40000"/>
              </a:prstClr>
            </a:outerShdw>
          </a:effectLst>
        </c:spPr>
        <c:dLbl>
          <c:idx val="0"/>
          <c:layout>
            <c:manualLayout>
              <c:x val="-3.5460992907801421E-2"/>
              <c:y val="-2.554278416347370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48"/>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9068334543288473E-2"/>
              <c:y val="-8.789533492221507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Lst>
        </c:dLbl>
      </c:pivotFmt>
      <c:pivotFmt>
        <c:idx val="14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50"/>
        <c:spPr>
          <a:solidFill>
            <a:schemeClr val="accent1"/>
          </a:solidFill>
          <a:ln>
            <a:noFill/>
          </a:ln>
          <a:effectLst>
            <a:outerShdw blurRad="63500" sx="102000" sy="102000" algn="ctr" rotWithShape="0">
              <a:prstClr val="black">
                <a:alpha val="20000"/>
              </a:prstClr>
            </a:outerShdw>
          </a:effectLst>
        </c:spPr>
      </c:pivotFmt>
      <c:pivotFmt>
        <c:idx val="151"/>
        <c:spPr>
          <a:solidFill>
            <a:schemeClr val="accent2"/>
          </a:solidFill>
          <a:ln>
            <a:noFill/>
          </a:ln>
          <a:effectLst>
            <a:outerShdw blurRad="63500" sx="102000" sy="102000" algn="ctr" rotWithShape="0">
              <a:prstClr val="black">
                <a:alpha val="20000"/>
              </a:prstClr>
            </a:outerShdw>
          </a:effectLst>
        </c:spPr>
      </c:pivotFmt>
      <c:pivotFmt>
        <c:idx val="152"/>
        <c:spPr>
          <a:solidFill>
            <a:schemeClr val="accent3"/>
          </a:solidFill>
          <a:ln>
            <a:noFill/>
          </a:ln>
          <a:effectLst>
            <a:outerShdw blurRad="63500" sx="102000" sy="102000" algn="ctr" rotWithShape="0">
              <a:prstClr val="black">
                <a:alpha val="20000"/>
              </a:prstClr>
            </a:outerShdw>
          </a:effectLst>
        </c:spPr>
      </c:pivotFmt>
      <c:pivotFmt>
        <c:idx val="153"/>
        <c:spPr>
          <a:solidFill>
            <a:schemeClr val="accent4"/>
          </a:solidFill>
          <a:ln>
            <a:noFill/>
          </a:ln>
          <a:effectLst>
            <a:outerShdw blurRad="63500" sx="102000" sy="102000" algn="ctr" rotWithShape="0">
              <a:prstClr val="black">
                <a:alpha val="20000"/>
              </a:prstClr>
            </a:outerShdw>
          </a:effectLst>
        </c:spPr>
      </c:pivotFmt>
      <c:pivotFmt>
        <c:idx val="154"/>
        <c:spPr>
          <a:solidFill>
            <a:schemeClr val="accent5"/>
          </a:solidFill>
          <a:ln>
            <a:noFill/>
          </a:ln>
          <a:effectLst>
            <a:outerShdw blurRad="63500" sx="102000" sy="102000" algn="ctr" rotWithShape="0">
              <a:prstClr val="black">
                <a:alpha val="20000"/>
              </a:prstClr>
            </a:outerShdw>
          </a:effectLst>
        </c:spPr>
      </c:pivotFmt>
    </c:pivotFmts>
    <c:plotArea>
      <c:layout>
        <c:manualLayout>
          <c:layoutTarget val="inner"/>
          <c:xMode val="edge"/>
          <c:yMode val="edge"/>
          <c:x val="0.1506867576804698"/>
          <c:y val="0.33267341582302212"/>
          <c:w val="0.73470684869427294"/>
          <c:h val="0.58356715410573679"/>
        </c:manualLayout>
      </c:layout>
      <c:pieChart>
        <c:varyColors val="1"/>
        <c:ser>
          <c:idx val="0"/>
          <c:order val="0"/>
          <c:tx>
            <c:strRef>
              <c:f>'Statistics 2018'!$G$134</c:f>
              <c:strCache>
                <c:ptCount val="1"/>
                <c:pt idx="0">
                  <c:v>#</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2CD2-4C8A-B28D-72D74F22E36A}"/>
              </c:ext>
            </c:extLst>
          </c:dPt>
          <c:dPt>
            <c:idx val="1"/>
            <c:bubble3D val="0"/>
            <c:spPr>
              <a:solidFill>
                <a:srgbClr val="C1FFC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2CD2-4C8A-B28D-72D74F22E36A}"/>
              </c:ext>
            </c:extLst>
          </c:dPt>
          <c:dPt>
            <c:idx val="2"/>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2CD2-4C8A-B28D-72D74F22E36A}"/>
              </c:ext>
            </c:extLst>
          </c:dPt>
          <c:dPt>
            <c:idx val="3"/>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2CD2-4C8A-B28D-72D74F22E36A}"/>
              </c:ext>
            </c:extLst>
          </c:dPt>
          <c:dPt>
            <c:idx val="4"/>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2CD2-4C8A-B28D-72D74F22E36A}"/>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CD2-4C8A-B28D-72D74F22E36A}"/>
                </c:ext>
              </c:extLst>
            </c:dLbl>
            <c:dLbl>
              <c:idx val="1"/>
              <c:layout>
                <c:manualLayout>
                  <c:x val="0"/>
                  <c:y val="2.567379077615291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CD2-4C8A-B28D-72D74F22E36A}"/>
                </c:ext>
              </c:extLst>
            </c:dLbl>
            <c:dLbl>
              <c:idx val="2"/>
              <c:layout>
                <c:manualLayout>
                  <c:x val="-0.12490945826016352"/>
                  <c:y val="1.112860892388451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CD2-4C8A-B28D-72D74F22E36A}"/>
                </c:ext>
              </c:extLst>
            </c:dLbl>
            <c:dLbl>
              <c:idx val="3"/>
              <c:layout>
                <c:manualLayout>
                  <c:x val="-3.5460992907801421E-2"/>
                  <c:y val="-2.554278416347370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CD2-4C8A-B28D-72D74F22E36A}"/>
                </c:ext>
              </c:extLst>
            </c:dLbl>
            <c:dLbl>
              <c:idx val="4"/>
              <c:layout>
                <c:manualLayout>
                  <c:x val="0.14938008648199549"/>
                  <c:y val="-4.9799775028121487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CD2-4C8A-B28D-72D74F22E36A}"/>
                </c:ext>
              </c:extLst>
            </c:dLbl>
            <c:spPr>
              <a:noFill/>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showLegendKey val="1"/>
            <c:showVal val="0"/>
            <c:showCatName val="0"/>
            <c:showSerName val="0"/>
            <c:showPercent val="1"/>
            <c:showBubbleSize val="0"/>
            <c:separator>
</c:separator>
            <c:showLeaderLines val="1"/>
            <c:extLst>
              <c:ext xmlns:c15="http://schemas.microsoft.com/office/drawing/2012/chart" uri="{CE6537A1-D6FC-4f65-9D91-7224C49458BB}"/>
            </c:extLst>
          </c:dLbls>
          <c:cat>
            <c:strRef>
              <c:f>'Statistics 2018'!$F$135:$F$140</c:f>
              <c:strCache>
                <c:ptCount val="5"/>
                <c:pt idx="0">
                  <c:v>0</c:v>
                </c:pt>
                <c:pt idx="1">
                  <c:v>&lt; 0.1</c:v>
                </c:pt>
                <c:pt idx="2">
                  <c:v>&lt; 0.25</c:v>
                </c:pt>
                <c:pt idx="3">
                  <c:v>&lt; 0.5</c:v>
                </c:pt>
                <c:pt idx="4">
                  <c:v>&gt;= 1</c:v>
                </c:pt>
              </c:strCache>
            </c:strRef>
          </c:cat>
          <c:val>
            <c:numRef>
              <c:f>'Statistics 2018'!$G$135:$G$140</c:f>
              <c:numCache>
                <c:formatCode>#,##0_ ;[Red]\-#,##0\ </c:formatCode>
                <c:ptCount val="5"/>
                <c:pt idx="0">
                  <c:v>124</c:v>
                </c:pt>
                <c:pt idx="1">
                  <c:v>33</c:v>
                </c:pt>
                <c:pt idx="2">
                  <c:v>5</c:v>
                </c:pt>
                <c:pt idx="3">
                  <c:v>2</c:v>
                </c:pt>
                <c:pt idx="4">
                  <c:v>1</c:v>
                </c:pt>
              </c:numCache>
            </c:numRef>
          </c:val>
          <c:extLst>
            <c:ext xmlns:c16="http://schemas.microsoft.com/office/drawing/2014/chart" uri="{C3380CC4-5D6E-409C-BE32-E72D297353CC}">
              <c16:uniqueId val="{0000000A-2CD2-4C8A-B28D-72D74F22E36A}"/>
            </c:ext>
          </c:extLst>
        </c:ser>
        <c:ser>
          <c:idx val="1"/>
          <c:order val="1"/>
          <c:tx>
            <c:strRef>
              <c:f>'Statistics 2018'!$H$134</c:f>
              <c:strCache>
                <c:ptCount val="1"/>
                <c:pt idx="0">
                  <c:v>%</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2CD2-4C8A-B28D-72D74F22E3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2CD2-4C8A-B28D-72D74F22E36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2CD2-4C8A-B28D-72D74F22E36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2CD2-4C8A-B28D-72D74F22E36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2CD2-4C8A-B28D-72D74F22E36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2018'!$F$135:$F$140</c:f>
              <c:strCache>
                <c:ptCount val="5"/>
                <c:pt idx="0">
                  <c:v>0</c:v>
                </c:pt>
                <c:pt idx="1">
                  <c:v>&lt; 0.1</c:v>
                </c:pt>
                <c:pt idx="2">
                  <c:v>&lt; 0.25</c:v>
                </c:pt>
                <c:pt idx="3">
                  <c:v>&lt; 0.5</c:v>
                </c:pt>
                <c:pt idx="4">
                  <c:v>&gt;= 1</c:v>
                </c:pt>
              </c:strCache>
            </c:strRef>
          </c:cat>
          <c:val>
            <c:numRef>
              <c:f>'Statistics 2018'!$H$135:$H$140</c:f>
              <c:numCache>
                <c:formatCode>0%</c:formatCode>
                <c:ptCount val="5"/>
                <c:pt idx="0">
                  <c:v>0.75151515151515147</c:v>
                </c:pt>
                <c:pt idx="1">
                  <c:v>0.2</c:v>
                </c:pt>
                <c:pt idx="2">
                  <c:v>3.0303030303030304E-2</c:v>
                </c:pt>
                <c:pt idx="3">
                  <c:v>1.2121212121212121E-2</c:v>
                </c:pt>
                <c:pt idx="4">
                  <c:v>6.0606060606060606E-3</c:v>
                </c:pt>
              </c:numCache>
            </c:numRef>
          </c:val>
          <c:extLst>
            <c:ext xmlns:c16="http://schemas.microsoft.com/office/drawing/2014/chart" uri="{C3380CC4-5D6E-409C-BE32-E72D297353CC}">
              <c16:uniqueId val="{00000015-2CD2-4C8A-B28D-72D74F22E36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Procedures</a:t>
            </a:r>
            <a:r>
              <a:rPr lang="en-US" baseline="0"/>
              <a:t> for Medical Exemption under S166</a:t>
            </a:r>
            <a:endParaRPr lang="en-US"/>
          </a:p>
        </c:rich>
      </c:tx>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1504728416581515"/>
          <c:y val="8.6854148742479709E-2"/>
          <c:w val="0.81009236440864751"/>
          <c:h val="0.76264952718517454"/>
        </c:manualLayout>
      </c:layout>
      <c:barChart>
        <c:barDir val="col"/>
        <c:grouping val="percentStacked"/>
        <c:varyColors val="0"/>
        <c:ser>
          <c:idx val="0"/>
          <c:order val="0"/>
          <c:tx>
            <c:strRef>
              <c:f>'Statistics 2018'!$B$147</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5"/>
              <c:layout>
                <c:manualLayout>
                  <c:x val="1.2082766378854035E-3"/>
                  <c:y val="-3.7833104723304764E-4"/>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DA1-470F-9728-4594B38C4433}"/>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'Statistics 2018'!$C$146:$H$146</c:f>
              <c:strCache>
                <c:ptCount val="3"/>
                <c:pt idx="0">
                  <c:v>GP Evidence %</c:v>
                </c:pt>
                <c:pt idx="1">
                  <c:v>Independent Evidence %</c:v>
                </c:pt>
                <c:pt idx="2">
                  <c:v>Application Form %</c:v>
                </c:pt>
              </c:strCache>
            </c:strRef>
          </c:cat>
          <c:val>
            <c:numRef>
              <c:f>'Statistics 2018'!$C$147:$H$147</c:f>
              <c:numCache>
                <c:formatCode>0%</c:formatCode>
                <c:ptCount val="3"/>
                <c:pt idx="0">
                  <c:v>0.8666666666666667</c:v>
                </c:pt>
                <c:pt idx="1">
                  <c:v>0.18260869565217391</c:v>
                </c:pt>
                <c:pt idx="2">
                  <c:v>0.35652173913043478</c:v>
                </c:pt>
              </c:numCache>
            </c:numRef>
          </c:val>
          <c:extLst>
            <c:ext xmlns:c16="http://schemas.microsoft.com/office/drawing/2014/chart" uri="{C3380CC4-5D6E-409C-BE32-E72D297353CC}">
              <c16:uniqueId val="{00000001-0DA1-470F-9728-4594B38C4433}"/>
            </c:ext>
          </c:extLst>
        </c:ser>
        <c:ser>
          <c:idx val="1"/>
          <c:order val="1"/>
          <c:tx>
            <c:strRef>
              <c:f>'Statistics 2018'!$B$148</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'Statistics 2018'!$C$146:$H$146</c:f>
              <c:strCache>
                <c:ptCount val="3"/>
                <c:pt idx="0">
                  <c:v>GP Evidence %</c:v>
                </c:pt>
                <c:pt idx="1">
                  <c:v>Independent Evidence %</c:v>
                </c:pt>
                <c:pt idx="2">
                  <c:v>Application Form %</c:v>
                </c:pt>
              </c:strCache>
            </c:strRef>
          </c:cat>
          <c:val>
            <c:numRef>
              <c:f>'Statistics 2018'!$C$148:$H$148</c:f>
              <c:numCache>
                <c:formatCode>0%</c:formatCode>
                <c:ptCount val="3"/>
                <c:pt idx="0">
                  <c:v>0.13333333333333333</c:v>
                </c:pt>
                <c:pt idx="1">
                  <c:v>0.81739130434782614</c:v>
                </c:pt>
                <c:pt idx="2">
                  <c:v>0.64347826086956517</c:v>
                </c:pt>
              </c:numCache>
            </c:numRef>
          </c:val>
          <c:extLst>
            <c:ext xmlns:c16="http://schemas.microsoft.com/office/drawing/2014/chart" uri="{C3380CC4-5D6E-409C-BE32-E72D297353CC}">
              <c16:uniqueId val="{00000002-0DA1-470F-9728-4594B38C4433}"/>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a:t>Proportion</a:t>
                </a:r>
                <a:r>
                  <a:rPr lang="en-GB" baseline="0"/>
                  <a:t> of Authorities</a:t>
                </a:r>
                <a:endParaRPr lang="en-GB"/>
              </a:p>
            </c:rich>
          </c:tx>
          <c:layout>
            <c:manualLayout>
              <c:xMode val="edge"/>
              <c:yMode val="edge"/>
              <c:x val="2.6335877862595419E-2"/>
              <c:y val="0.2515045916743245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2018!IntentScot2018</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r>
              <a:rPr lang="en-US"/>
              <a:t>Scotland</a:t>
            </a:r>
          </a:p>
          <a:p>
            <a:pPr algn="ctr" rtl="0">
              <a:defRPr lang="en-GB" sz="1200" cap="none">
                <a:solidFill>
                  <a:sysClr val="windowText" lastClr="000000">
                    <a:lumMod val="65000"/>
                    <a:lumOff val="35000"/>
                  </a:sysClr>
                </a:solidFill>
              </a:defRPr>
            </a:pPr>
            <a:r>
              <a:rPr lang="en-US"/>
              <a:t>S167 List</a:t>
            </a:r>
            <a:r>
              <a:rPr lang="en-US" baseline="0"/>
              <a:t> May 2018</a:t>
            </a:r>
          </a:p>
        </c:rich>
      </c:tx>
      <c:layout>
        <c:manualLayout>
          <c:xMode val="edge"/>
          <c:yMode val="edge"/>
          <c:x val="0.13525124664365173"/>
          <c:y val="0"/>
        </c:manualLayout>
      </c:layout>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2018'!$C$61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C7CB-437B-89FB-F9C34B823690}"/>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C7CB-437B-89FB-F9C34B823690}"/>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C7CB-437B-89FB-F9C34B823690}"/>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C7CB-437B-89FB-F9C34B823690}"/>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C7CB-437B-89FB-F9C34B823690}"/>
              </c:ext>
            </c:extLst>
          </c:dPt>
          <c:dLbls>
            <c:dLbl>
              <c:idx val="0"/>
              <c:layout>
                <c:manualLayout>
                  <c:x val="-5.3701572688914463E-2"/>
                  <c:y val="2.9066134171704836E-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464699823914418"/>
                      <c:h val="0.34662236987818379"/>
                    </c:manualLayout>
                  </c15:layout>
                </c:ext>
                <c:ext xmlns:c16="http://schemas.microsoft.com/office/drawing/2014/chart" uri="{C3380CC4-5D6E-409C-BE32-E72D297353CC}">
                  <c16:uniqueId val="{00000001-C7CB-437B-89FB-F9C34B823690}"/>
                </c:ext>
              </c:extLst>
            </c:dLbl>
            <c:dLbl>
              <c:idx val="1"/>
              <c:layout>
                <c:manualLayout>
                  <c:x val="7.6716532412734947E-3"/>
                  <c:y val="2.9531482983231747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520107886399127"/>
                      <c:h val="0.25064599483204131"/>
                    </c:manualLayout>
                  </c15:layout>
                </c:ext>
                <c:ext xmlns:c16="http://schemas.microsoft.com/office/drawing/2014/chart" uri="{C3380CC4-5D6E-409C-BE32-E72D297353CC}">
                  <c16:uniqueId val="{00000003-C7CB-437B-89FB-F9C34B82369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2018'!$B$62:$B$64</c:f>
              <c:strCache>
                <c:ptCount val="2"/>
                <c:pt idx="0">
                  <c:v>Yes</c:v>
                </c:pt>
                <c:pt idx="1">
                  <c:v>No</c:v>
                </c:pt>
              </c:strCache>
            </c:strRef>
          </c:cat>
          <c:val>
            <c:numRef>
              <c:f>'Statistics 2018'!$C$62:$C$64</c:f>
              <c:numCache>
                <c:formatCode>0</c:formatCode>
                <c:ptCount val="2"/>
                <c:pt idx="0">
                  <c:v>11</c:v>
                </c:pt>
                <c:pt idx="1">
                  <c:v>21</c:v>
                </c:pt>
              </c:numCache>
            </c:numRef>
          </c:val>
          <c:extLst>
            <c:ext xmlns:c16="http://schemas.microsoft.com/office/drawing/2014/chart" uri="{C3380CC4-5D6E-409C-BE32-E72D297353CC}">
              <c16:uniqueId val="{0000000A-C7CB-437B-89FB-F9C34B823690}"/>
            </c:ext>
          </c:extLst>
        </c:ser>
        <c:ser>
          <c:idx val="1"/>
          <c:order val="1"/>
          <c:tx>
            <c:strRef>
              <c:f>'Statistics 2018'!$D$61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C7CB-437B-89FB-F9C34B8236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C7CB-437B-89FB-F9C34B82369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C7CB-437B-89FB-F9C34B82369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C7CB-437B-89FB-F9C34B82369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C7CB-437B-89FB-F9C34B8236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C7CB-437B-89FB-F9C34B8236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C7CB-437B-89FB-F9C34B8236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2018'!$B$62:$B$64</c:f>
              <c:strCache>
                <c:ptCount val="2"/>
                <c:pt idx="0">
                  <c:v>Yes</c:v>
                </c:pt>
                <c:pt idx="1">
                  <c:v>No</c:v>
                </c:pt>
              </c:strCache>
            </c:strRef>
          </c:cat>
          <c:val>
            <c:numRef>
              <c:f>'Statistics 2018'!$D$62:$D$64</c:f>
              <c:numCache>
                <c:formatCode>0%</c:formatCode>
                <c:ptCount val="2"/>
                <c:pt idx="0">
                  <c:v>0.34375</c:v>
                </c:pt>
                <c:pt idx="1">
                  <c:v>0.65625</c:v>
                </c:pt>
              </c:numCache>
            </c:numRef>
          </c:val>
          <c:extLst>
            <c:ext xmlns:c16="http://schemas.microsoft.com/office/drawing/2014/chart" uri="{C3380CC4-5D6E-409C-BE32-E72D297353CC}">
              <c16:uniqueId val="{00000015-C7CB-437B-89FB-F9C34B823690}"/>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2018!IntentWales2018</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r>
              <a:rPr lang="en-US"/>
              <a:t>Wales</a:t>
            </a:r>
          </a:p>
          <a:p>
            <a:pPr algn="ctr" rtl="0">
              <a:defRPr lang="en-GB" sz="1200" cap="none">
                <a:solidFill>
                  <a:sysClr val="windowText" lastClr="000000">
                    <a:lumMod val="65000"/>
                    <a:lumOff val="35000"/>
                  </a:sysClr>
                </a:solidFill>
              </a:defRPr>
            </a:pPr>
            <a:r>
              <a:rPr lang="en-US"/>
              <a:t>S167 List May 2018</a:t>
            </a:r>
          </a:p>
        </c:rich>
      </c:tx>
      <c:layout>
        <c:manualLayout>
          <c:xMode val="edge"/>
          <c:yMode val="edge"/>
          <c:x val="0.11223628691983123"/>
          <c:y val="0"/>
        </c:manualLayout>
      </c:layout>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2018'!$C$79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17E8-481D-A7B7-57DCA268B80D}"/>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17E8-481D-A7B7-57DCA268B80D}"/>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17E8-481D-A7B7-57DCA268B80D}"/>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17E8-481D-A7B7-57DCA268B80D}"/>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17E8-481D-A7B7-57DCA268B80D}"/>
              </c:ext>
            </c:extLst>
          </c:dPt>
          <c:dLbls>
            <c:dLbl>
              <c:idx val="0"/>
              <c:layout>
                <c:manualLayout>
                  <c:x val="2.9413724969772036E-2"/>
                  <c:y val="-3.714681002913269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794007490636702"/>
                      <c:h val="0.34881129271916783"/>
                    </c:manualLayout>
                  </c15:layout>
                </c:ext>
                <c:ext xmlns:c16="http://schemas.microsoft.com/office/drawing/2014/chart" uri="{C3380CC4-5D6E-409C-BE32-E72D297353CC}">
                  <c16:uniqueId val="{00000001-17E8-481D-A7B7-57DCA268B80D}"/>
                </c:ext>
              </c:extLst>
            </c:dLbl>
            <c:dLbl>
              <c:idx val="1"/>
              <c:layout>
                <c:manualLayout>
                  <c:x val="-2.914758959716221E-2"/>
                  <c:y val="0.1634471296456131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395171690995468"/>
                      <c:h val="0.34881104978156796"/>
                    </c:manualLayout>
                  </c15:layout>
                </c:ext>
                <c:ext xmlns:c16="http://schemas.microsoft.com/office/drawing/2014/chart" uri="{C3380CC4-5D6E-409C-BE32-E72D297353CC}">
                  <c16:uniqueId val="{00000003-17E8-481D-A7B7-57DCA268B80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2018'!$B$80:$B$82</c:f>
              <c:strCache>
                <c:ptCount val="2"/>
                <c:pt idx="0">
                  <c:v>Yes</c:v>
                </c:pt>
                <c:pt idx="1">
                  <c:v>No</c:v>
                </c:pt>
              </c:strCache>
            </c:strRef>
          </c:cat>
          <c:val>
            <c:numRef>
              <c:f>'Statistics 2018'!$C$80:$C$82</c:f>
              <c:numCache>
                <c:formatCode>0</c:formatCode>
                <c:ptCount val="2"/>
                <c:pt idx="0">
                  <c:v>17</c:v>
                </c:pt>
                <c:pt idx="1">
                  <c:v>5</c:v>
                </c:pt>
              </c:numCache>
            </c:numRef>
          </c:val>
          <c:extLst>
            <c:ext xmlns:c16="http://schemas.microsoft.com/office/drawing/2014/chart" uri="{C3380CC4-5D6E-409C-BE32-E72D297353CC}">
              <c16:uniqueId val="{0000000A-17E8-481D-A7B7-57DCA268B80D}"/>
            </c:ext>
          </c:extLst>
        </c:ser>
        <c:ser>
          <c:idx val="1"/>
          <c:order val="1"/>
          <c:tx>
            <c:strRef>
              <c:f>'Statistics 2018'!$D$79</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17E8-481D-A7B7-57DCA268B8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17E8-481D-A7B7-57DCA268B8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17E8-481D-A7B7-57DCA268B8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17E8-481D-A7B7-57DCA268B8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17E8-481D-A7B7-57DCA268B8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17E8-481D-A7B7-57DCA268B8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17E8-481D-A7B7-57DCA268B80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2018'!$B$80:$B$82</c:f>
              <c:strCache>
                <c:ptCount val="2"/>
                <c:pt idx="0">
                  <c:v>Yes</c:v>
                </c:pt>
                <c:pt idx="1">
                  <c:v>No</c:v>
                </c:pt>
              </c:strCache>
            </c:strRef>
          </c:cat>
          <c:val>
            <c:numRef>
              <c:f>'Statistics 2018'!$D$80:$D$82</c:f>
              <c:numCache>
                <c:formatCode>0%</c:formatCode>
                <c:ptCount val="2"/>
                <c:pt idx="0">
                  <c:v>0.77272727272727271</c:v>
                </c:pt>
                <c:pt idx="1">
                  <c:v>0.22727272727272727</c:v>
                </c:pt>
              </c:numCache>
            </c:numRef>
          </c:val>
          <c:extLst>
            <c:ext xmlns:c16="http://schemas.microsoft.com/office/drawing/2014/chart" uri="{C3380CC4-5D6E-409C-BE32-E72D297353CC}">
              <c16:uniqueId val="{00000015-17E8-481D-A7B7-57DCA268B80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2018!Intent100%Accessible</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r>
              <a:rPr lang="en-US"/>
              <a:t>Authorities with 100% accessible fleets</a:t>
            </a:r>
          </a:p>
          <a:p>
            <a:pPr algn="ctr" rtl="0">
              <a:defRPr lang="en-GB" sz="1200" cap="none">
                <a:solidFill>
                  <a:sysClr val="windowText" lastClr="000000">
                    <a:lumMod val="65000"/>
                    <a:lumOff val="35000"/>
                  </a:sysClr>
                </a:solidFill>
              </a:defRPr>
            </a:pPr>
            <a:r>
              <a:rPr lang="en-US"/>
              <a:t>S167 implemented</a:t>
            </a:r>
          </a:p>
        </c:rich>
      </c:tx>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xForSave val="1"/>
            </c:ext>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xForSave val="1"/>
            </c:ext>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2018'!$C$101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D3A3-46C3-A2D4-5F497B92DC17}"/>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D3A3-46C3-A2D4-5F497B92DC17}"/>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D3A3-46C3-A2D4-5F497B92DC17}"/>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D3A3-46C3-A2D4-5F497B92DC17}"/>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D3A3-46C3-A2D4-5F497B92DC17}"/>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3A3-46C3-A2D4-5F497B92DC17}"/>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3A3-46C3-A2D4-5F497B92DC1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2018'!$B$102:$B$104</c:f>
              <c:strCache>
                <c:ptCount val="2"/>
                <c:pt idx="0">
                  <c:v>Yes</c:v>
                </c:pt>
                <c:pt idx="1">
                  <c:v>No</c:v>
                </c:pt>
              </c:strCache>
            </c:strRef>
          </c:cat>
          <c:val>
            <c:numRef>
              <c:f>'Statistics 2018'!$C$102:$C$104</c:f>
              <c:numCache>
                <c:formatCode>0</c:formatCode>
                <c:ptCount val="2"/>
                <c:pt idx="0">
                  <c:v>28</c:v>
                </c:pt>
                <c:pt idx="1">
                  <c:v>38</c:v>
                </c:pt>
              </c:numCache>
            </c:numRef>
          </c:val>
          <c:extLst>
            <c:ext xmlns:c16="http://schemas.microsoft.com/office/drawing/2014/chart" uri="{C3380CC4-5D6E-409C-BE32-E72D297353CC}">
              <c16:uniqueId val="{0000000A-D3A3-46C3-A2D4-5F497B92DC17}"/>
            </c:ext>
          </c:extLst>
        </c:ser>
        <c:ser>
          <c:idx val="1"/>
          <c:order val="1"/>
          <c:tx>
            <c:strRef>
              <c:f>'Statistics 2018'!$D$101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D3A3-46C3-A2D4-5F497B92DC1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D3A3-46C3-A2D4-5F497B92DC1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D3A3-46C3-A2D4-5F497B92DC1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D3A3-46C3-A2D4-5F497B92DC1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D3A3-46C3-A2D4-5F497B92DC1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D3A3-46C3-A2D4-5F497B92DC1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D3A3-46C3-A2D4-5F497B92DC1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2018'!$B$102:$B$104</c:f>
              <c:strCache>
                <c:ptCount val="2"/>
                <c:pt idx="0">
                  <c:v>Yes</c:v>
                </c:pt>
                <c:pt idx="1">
                  <c:v>No</c:v>
                </c:pt>
              </c:strCache>
            </c:strRef>
          </c:cat>
          <c:val>
            <c:numRef>
              <c:f>'Statistics 2018'!$D$102:$D$104</c:f>
              <c:numCache>
                <c:formatCode>0%</c:formatCode>
                <c:ptCount val="2"/>
                <c:pt idx="0">
                  <c:v>0.42424242424242425</c:v>
                </c:pt>
                <c:pt idx="1">
                  <c:v>0.5757575757575758</c:v>
                </c:pt>
              </c:numCache>
            </c:numRef>
          </c:val>
          <c:extLst>
            <c:ext xmlns:c16="http://schemas.microsoft.com/office/drawing/2014/chart" uri="{C3380CC4-5D6E-409C-BE32-E72D297353CC}">
              <c16:uniqueId val="{00000015-D3A3-46C3-A2D4-5F497B92DC1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2018!Grade100%Accessible</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cap="none" baseline="0"/>
              <a:t>Authorities with 100% Accessible Fleets</a:t>
            </a:r>
          </a:p>
          <a:p>
            <a:pPr>
              <a:defRPr sz="1200"/>
            </a:pPr>
            <a:r>
              <a:rPr lang="en-GB" cap="none" baseline="0"/>
              <a:t>S167 Grade</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30"/>
        <c:spPr>
          <a:solidFill>
            <a:srgbClr val="FFEB84"/>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3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3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3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0"/>
        <c:spPr>
          <a:solidFill>
            <a:srgbClr val="FFEB84"/>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0"/>
        <c:spPr>
          <a:solidFill>
            <a:srgbClr val="FFEB84"/>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2018'!$C$91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A491-4CDB-AF4E-E0F03BC077F7}"/>
              </c:ext>
            </c:extLst>
          </c:dPt>
          <c:dPt>
            <c:idx val="1"/>
            <c:bubble3D val="0"/>
            <c:spPr>
              <a:solidFill>
                <a:srgbClr val="FFEB8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A491-4CDB-AF4E-E0F03BC077F7}"/>
              </c:ext>
            </c:extLst>
          </c:dPt>
          <c:dPt>
            <c:idx val="2"/>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A491-4CDB-AF4E-E0F03BC077F7}"/>
              </c:ext>
            </c:extLst>
          </c:dPt>
          <c:dPt>
            <c:idx val="3"/>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A491-4CDB-AF4E-E0F03BC077F7}"/>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A491-4CDB-AF4E-E0F03BC077F7}"/>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491-4CDB-AF4E-E0F03BC077F7}"/>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491-4CDB-AF4E-E0F03BC077F7}"/>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491-4CDB-AF4E-E0F03BC077F7}"/>
                </c:ext>
              </c:extLst>
            </c:dLbl>
            <c:dLbl>
              <c:idx val="3"/>
              <c:layout>
                <c:manualLayout>
                  <c:x val="5.3763504281065945E-2"/>
                  <c:y val="5.360134003350083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491-4CDB-AF4E-E0F03BC077F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2018'!$B$92:$B$96</c:f>
              <c:strCache>
                <c:ptCount val="4"/>
                <c:pt idx="0">
                  <c:v>A</c:v>
                </c:pt>
                <c:pt idx="1">
                  <c:v>C</c:v>
                </c:pt>
                <c:pt idx="2">
                  <c:v>D</c:v>
                </c:pt>
                <c:pt idx="3">
                  <c:v>E</c:v>
                </c:pt>
              </c:strCache>
            </c:strRef>
          </c:cat>
          <c:val>
            <c:numRef>
              <c:f>'Statistics 2018'!$C$92:$C$96</c:f>
              <c:numCache>
                <c:formatCode>0</c:formatCode>
                <c:ptCount val="4"/>
                <c:pt idx="0">
                  <c:v>28</c:v>
                </c:pt>
                <c:pt idx="1">
                  <c:v>25</c:v>
                </c:pt>
                <c:pt idx="2">
                  <c:v>4</c:v>
                </c:pt>
                <c:pt idx="3">
                  <c:v>9</c:v>
                </c:pt>
              </c:numCache>
            </c:numRef>
          </c:val>
          <c:extLst>
            <c:ext xmlns:c16="http://schemas.microsoft.com/office/drawing/2014/chart" uri="{C3380CC4-5D6E-409C-BE32-E72D297353CC}">
              <c16:uniqueId val="{0000000A-A491-4CDB-AF4E-E0F03BC077F7}"/>
            </c:ext>
          </c:extLst>
        </c:ser>
        <c:ser>
          <c:idx val="1"/>
          <c:order val="1"/>
          <c:tx>
            <c:strRef>
              <c:f>'Statistics 2018'!$D$91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A491-4CDB-AF4E-E0F03BC077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A491-4CDB-AF4E-E0F03BC077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A491-4CDB-AF4E-E0F03BC077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A491-4CDB-AF4E-E0F03BC077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A491-4CDB-AF4E-E0F03BC077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A491-4CDB-AF4E-E0F03BC077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A491-4CDB-AF4E-E0F03BC077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A491-4CDB-AF4E-E0F03BC077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A491-4CDB-AF4E-E0F03BC077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2018'!$B$92:$B$96</c:f>
              <c:strCache>
                <c:ptCount val="4"/>
                <c:pt idx="0">
                  <c:v>A</c:v>
                </c:pt>
                <c:pt idx="1">
                  <c:v>C</c:v>
                </c:pt>
                <c:pt idx="2">
                  <c:v>D</c:v>
                </c:pt>
                <c:pt idx="3">
                  <c:v>E</c:v>
                </c:pt>
              </c:strCache>
            </c:strRef>
          </c:cat>
          <c:val>
            <c:numRef>
              <c:f>'Statistics 2018'!$D$92:$D$96</c:f>
              <c:numCache>
                <c:formatCode>0%</c:formatCode>
                <c:ptCount val="4"/>
                <c:pt idx="0">
                  <c:v>0.42424242424242425</c:v>
                </c:pt>
                <c:pt idx="1">
                  <c:v>0.37878787878787878</c:v>
                </c:pt>
                <c:pt idx="2">
                  <c:v>6.0606060606060608E-2</c:v>
                </c:pt>
                <c:pt idx="3">
                  <c:v>0.13636363636363635</c:v>
                </c:pt>
              </c:numCache>
            </c:numRef>
          </c:val>
          <c:extLst>
            <c:ext xmlns:c16="http://schemas.microsoft.com/office/drawing/2014/chart" uri="{C3380CC4-5D6E-409C-BE32-E72D297353CC}">
              <c16:uniqueId val="{00000015-A491-4CDB-AF4E-E0F03BC077F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2018!GradeGlobalStats2018</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cap="none" baseline="0"/>
              <a:t>GB Taxi Licensing Authorities</a:t>
            </a:r>
          </a:p>
          <a:p>
            <a:pPr>
              <a:defRPr sz="1600" b="1" i="0" u="none" strike="noStrike" kern="1200" cap="all" baseline="0">
                <a:solidFill>
                  <a:schemeClr val="tx1">
                    <a:lumMod val="65000"/>
                    <a:lumOff val="35000"/>
                  </a:schemeClr>
                </a:solidFill>
                <a:latin typeface="+mn-lt"/>
                <a:ea typeface="+mn-ea"/>
                <a:cs typeface="+mn-cs"/>
              </a:defRPr>
            </a:pPr>
            <a:r>
              <a:rPr lang="en-GB" cap="none" baseline="0"/>
              <a:t>S167 Grade May 2018</a:t>
            </a:r>
          </a:p>
        </c:rich>
      </c:tx>
      <c:overlay val="0"/>
      <c:spPr>
        <a:noFill/>
        <a:ln>
          <a:noFill/>
        </a:ln>
        <a:effectLst/>
      </c:sp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661872970094137"/>
              <c:y val="-1.8763288391768128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pivotFmt>
      <c:pivotFmt>
        <c:idx val="31"/>
        <c:spPr>
          <a:solidFill>
            <a:schemeClr val="accent2"/>
          </a:solidFill>
          <a:ln>
            <a:noFill/>
          </a:ln>
          <a:effectLst>
            <a:outerShdw blurRad="63500" sx="102000" sy="102000" algn="ctr" rotWithShape="0">
              <a:prstClr val="black">
                <a:alpha val="20000"/>
              </a:prstClr>
            </a:outerShdw>
          </a:effectLst>
        </c:spPr>
      </c:pivotFmt>
      <c:pivotFmt>
        <c:idx val="32"/>
        <c:spPr>
          <a:solidFill>
            <a:schemeClr val="accent3"/>
          </a:solidFill>
          <a:ln>
            <a:noFill/>
          </a:ln>
          <a:effectLst>
            <a:outerShdw blurRad="63500" sx="102000" sy="102000" algn="ctr" rotWithShape="0">
              <a:prstClr val="black">
                <a:alpha val="20000"/>
              </a:prstClr>
            </a:outerShdw>
          </a:effectLst>
        </c:spPr>
      </c:pivotFmt>
      <c:pivotFmt>
        <c:idx val="33"/>
        <c:spPr>
          <a:solidFill>
            <a:schemeClr val="accent4"/>
          </a:solidFill>
          <a:ln>
            <a:noFill/>
          </a:ln>
          <a:effectLst>
            <a:outerShdw blurRad="63500" sx="102000" sy="102000" algn="ctr" rotWithShape="0">
              <a:prstClr val="black">
                <a:alpha val="20000"/>
              </a:prstClr>
            </a:outerShdw>
          </a:effectLst>
        </c:spPr>
      </c:pivotFmt>
      <c:pivotFmt>
        <c:idx val="34"/>
        <c:spPr>
          <a:solidFill>
            <a:schemeClr val="accent5"/>
          </a:solidFill>
          <a:ln>
            <a:noFill/>
          </a:ln>
          <a:effectLst>
            <a:outerShdw blurRad="63500" sx="102000" sy="102000" algn="ctr" rotWithShape="0">
              <a:prstClr val="black">
                <a:alpha val="20000"/>
              </a:prstClr>
            </a:outerShdw>
          </a:effectLst>
        </c:spPr>
      </c:pivotFmt>
      <c:pivotFmt>
        <c:idx val="3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pivotFmt>
      <c:pivotFmt>
        <c:idx val="43"/>
        <c:spPr>
          <a:solidFill>
            <a:schemeClr val="accent2"/>
          </a:solidFill>
          <a:ln>
            <a:noFill/>
          </a:ln>
          <a:effectLst>
            <a:outerShdw blurRad="63500" sx="102000" sy="102000" algn="ctr" rotWithShape="0">
              <a:prstClr val="black">
                <a:alpha val="20000"/>
              </a:prstClr>
            </a:outerShdw>
          </a:effectLst>
        </c:spPr>
      </c:pivotFmt>
      <c:pivotFmt>
        <c:idx val="44"/>
        <c:spPr>
          <a:solidFill>
            <a:schemeClr val="accent3"/>
          </a:solidFill>
          <a:ln>
            <a:noFill/>
          </a:ln>
          <a:effectLst>
            <a:outerShdw blurRad="63500" sx="102000" sy="102000" algn="ctr" rotWithShape="0">
              <a:prstClr val="black">
                <a:alpha val="20000"/>
              </a:prstClr>
            </a:outerShdw>
          </a:effectLst>
        </c:spPr>
      </c:pivotFmt>
      <c:pivotFmt>
        <c:idx val="45"/>
        <c:spPr>
          <a:solidFill>
            <a:schemeClr val="accent4"/>
          </a:solidFill>
          <a:ln>
            <a:noFill/>
          </a:ln>
          <a:effectLst>
            <a:outerShdw blurRad="63500" sx="102000" sy="102000" algn="ctr" rotWithShape="0">
              <a:prstClr val="black">
                <a:alpha val="20000"/>
              </a:prstClr>
            </a:outerShdw>
          </a:effectLst>
        </c:spPr>
      </c:pivotFmt>
      <c:pivotFmt>
        <c:idx val="46"/>
        <c:spPr>
          <a:solidFill>
            <a:schemeClr val="accent5"/>
          </a:solidFill>
          <a:ln>
            <a:noFill/>
          </a:ln>
          <a:effectLst>
            <a:outerShdw blurRad="63500" sx="102000" sy="102000" algn="ctr" rotWithShape="0">
              <a:prstClr val="black">
                <a:alpha val="20000"/>
              </a:prstClr>
            </a:outerShdw>
          </a:effectLst>
        </c:spPr>
      </c:pivotFmt>
      <c:pivotFmt>
        <c:idx val="4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4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9"/>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pivotFmt>
      <c:pivotFmt>
        <c:idx val="55"/>
        <c:spPr>
          <a:solidFill>
            <a:schemeClr val="accent2"/>
          </a:solidFill>
          <a:ln>
            <a:noFill/>
          </a:ln>
          <a:effectLst>
            <a:outerShdw blurRad="63500" sx="102000" sy="102000" algn="ctr" rotWithShape="0">
              <a:prstClr val="black">
                <a:alpha val="20000"/>
              </a:prstClr>
            </a:outerShdw>
          </a:effectLst>
        </c:spPr>
      </c:pivotFmt>
      <c:pivotFmt>
        <c:idx val="56"/>
        <c:spPr>
          <a:solidFill>
            <a:schemeClr val="accent3"/>
          </a:solidFill>
          <a:ln>
            <a:noFill/>
          </a:ln>
          <a:effectLst>
            <a:outerShdw blurRad="63500" sx="102000" sy="102000" algn="ctr" rotWithShape="0">
              <a:prstClr val="black">
                <a:alpha val="20000"/>
              </a:prstClr>
            </a:outerShdw>
          </a:effectLst>
        </c:spPr>
      </c:pivotFmt>
      <c:pivotFmt>
        <c:idx val="57"/>
        <c:spPr>
          <a:solidFill>
            <a:schemeClr val="accent4"/>
          </a:solidFill>
          <a:ln>
            <a:noFill/>
          </a:ln>
          <a:effectLst>
            <a:outerShdw blurRad="63500" sx="102000" sy="102000" algn="ctr" rotWithShape="0">
              <a:prstClr val="black">
                <a:alpha val="20000"/>
              </a:prstClr>
            </a:outerShdw>
          </a:effectLst>
        </c:spPr>
      </c:pivotFmt>
      <c:pivotFmt>
        <c:idx val="58"/>
        <c:spPr>
          <a:solidFill>
            <a:schemeClr val="accent5"/>
          </a:solidFill>
          <a:ln>
            <a:noFill/>
          </a:ln>
          <a:effectLst>
            <a:outerShdw blurRad="63500" sx="102000" sy="102000" algn="ctr" rotWithShape="0">
              <a:prstClr val="black">
                <a:alpha val="20000"/>
              </a:prstClr>
            </a:outerShdw>
          </a:effectLst>
        </c:spPr>
      </c:pivotFmt>
      <c:pivotFmt>
        <c:idx val="5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1"/>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2"/>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63"/>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pivotFmt>
      <c:pivotFmt>
        <c:idx val="67"/>
        <c:spPr>
          <a:solidFill>
            <a:schemeClr val="accent2"/>
          </a:solidFill>
          <a:ln>
            <a:noFill/>
          </a:ln>
          <a:effectLst>
            <a:outerShdw blurRad="63500" sx="102000" sy="102000" algn="ctr" rotWithShape="0">
              <a:prstClr val="black">
                <a:alpha val="20000"/>
              </a:prstClr>
            </a:outerShdw>
          </a:effectLst>
        </c:spPr>
      </c:pivotFmt>
      <c:pivotFmt>
        <c:idx val="68"/>
        <c:spPr>
          <a:solidFill>
            <a:schemeClr val="accent3"/>
          </a:solidFill>
          <a:ln>
            <a:noFill/>
          </a:ln>
          <a:effectLst>
            <a:outerShdw blurRad="63500" sx="102000" sy="102000" algn="ctr" rotWithShape="0">
              <a:prstClr val="black">
                <a:alpha val="20000"/>
              </a:prstClr>
            </a:outerShdw>
          </a:effectLst>
        </c:spPr>
      </c:pivotFmt>
      <c:pivotFmt>
        <c:idx val="69"/>
        <c:spPr>
          <a:solidFill>
            <a:schemeClr val="accent4"/>
          </a:solidFill>
          <a:ln>
            <a:noFill/>
          </a:ln>
          <a:effectLst>
            <a:outerShdw blurRad="63500" sx="102000" sy="102000" algn="ctr" rotWithShape="0">
              <a:prstClr val="black">
                <a:alpha val="20000"/>
              </a:prstClr>
            </a:outerShdw>
          </a:effectLst>
        </c:spPr>
      </c:pivotFmt>
      <c:pivotFmt>
        <c:idx val="70"/>
        <c:spPr>
          <a:solidFill>
            <a:schemeClr val="accent5"/>
          </a:solidFill>
          <a:ln>
            <a:noFill/>
          </a:ln>
          <a:effectLst>
            <a:outerShdw blurRad="63500" sx="102000" sy="102000" algn="ctr" rotWithShape="0">
              <a:prstClr val="black">
                <a:alpha val="20000"/>
              </a:prstClr>
            </a:outerShdw>
          </a:effectLst>
        </c:spPr>
      </c:pivotFmt>
      <c:pivotFmt>
        <c:idx val="7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3"/>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4"/>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5"/>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6"/>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pivotFmt>
      <c:pivotFmt>
        <c:idx val="79"/>
        <c:spPr>
          <a:solidFill>
            <a:schemeClr val="accent2"/>
          </a:solidFill>
          <a:ln>
            <a:noFill/>
          </a:ln>
          <a:effectLst>
            <a:outerShdw blurRad="63500" sx="102000" sy="102000" algn="ctr" rotWithShape="0">
              <a:prstClr val="black">
                <a:alpha val="20000"/>
              </a:prstClr>
            </a:outerShdw>
          </a:effectLst>
        </c:spPr>
      </c:pivotFmt>
      <c:pivotFmt>
        <c:idx val="80"/>
        <c:spPr>
          <a:solidFill>
            <a:schemeClr val="accent3"/>
          </a:solidFill>
          <a:ln>
            <a:noFill/>
          </a:ln>
          <a:effectLst>
            <a:outerShdw blurRad="63500" sx="102000" sy="102000" algn="ctr" rotWithShape="0">
              <a:prstClr val="black">
                <a:alpha val="20000"/>
              </a:prstClr>
            </a:outerShdw>
          </a:effectLst>
        </c:spPr>
      </c:pivotFmt>
      <c:pivotFmt>
        <c:idx val="81"/>
        <c:spPr>
          <a:solidFill>
            <a:schemeClr val="accent4"/>
          </a:solidFill>
          <a:ln>
            <a:noFill/>
          </a:ln>
          <a:effectLst>
            <a:outerShdw blurRad="63500" sx="102000" sy="102000" algn="ctr" rotWithShape="0">
              <a:prstClr val="black">
                <a:alpha val="20000"/>
              </a:prstClr>
            </a:outerShdw>
          </a:effectLst>
        </c:spPr>
      </c:pivotFmt>
      <c:pivotFmt>
        <c:idx val="82"/>
        <c:spPr>
          <a:solidFill>
            <a:schemeClr val="accent5"/>
          </a:solidFill>
          <a:ln>
            <a:noFill/>
          </a:ln>
          <a:effectLst>
            <a:outerShdw blurRad="63500" sx="102000" sy="102000" algn="ctr" rotWithShape="0">
              <a:prstClr val="black">
                <a:alpha val="20000"/>
              </a:prstClr>
            </a:outerShdw>
          </a:effectLst>
        </c:spPr>
      </c:pivotFmt>
      <c:pivotFmt>
        <c:idx val="83"/>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8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5"/>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8"/>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pivotFmt>
      <c:pivotFmt>
        <c:idx val="91"/>
        <c:spPr>
          <a:solidFill>
            <a:schemeClr val="accent2"/>
          </a:solidFill>
          <a:ln>
            <a:noFill/>
          </a:ln>
          <a:effectLst>
            <a:outerShdw blurRad="63500" sx="102000" sy="102000" algn="ctr" rotWithShape="0">
              <a:prstClr val="black">
                <a:alpha val="20000"/>
              </a:prstClr>
            </a:outerShdw>
          </a:effectLst>
        </c:spPr>
      </c:pivotFmt>
      <c:pivotFmt>
        <c:idx val="92"/>
        <c:spPr>
          <a:solidFill>
            <a:schemeClr val="accent3"/>
          </a:solidFill>
          <a:ln>
            <a:noFill/>
          </a:ln>
          <a:effectLst>
            <a:outerShdw blurRad="63500" sx="102000" sy="102000" algn="ctr" rotWithShape="0">
              <a:prstClr val="black">
                <a:alpha val="20000"/>
              </a:prstClr>
            </a:outerShdw>
          </a:effectLst>
        </c:spPr>
      </c:pivotFmt>
      <c:pivotFmt>
        <c:idx val="93"/>
        <c:spPr>
          <a:solidFill>
            <a:schemeClr val="accent4"/>
          </a:solidFill>
          <a:ln>
            <a:noFill/>
          </a:ln>
          <a:effectLst>
            <a:outerShdw blurRad="63500" sx="102000" sy="102000" algn="ctr" rotWithShape="0">
              <a:prstClr val="black">
                <a:alpha val="20000"/>
              </a:prstClr>
            </a:outerShdw>
          </a:effectLst>
        </c:spPr>
      </c:pivotFmt>
      <c:pivotFmt>
        <c:idx val="94"/>
        <c:spPr>
          <a:solidFill>
            <a:schemeClr val="accent5"/>
          </a:solidFill>
          <a:ln>
            <a:noFill/>
          </a:ln>
          <a:effectLst>
            <a:outerShdw blurRad="63500" sx="102000" sy="102000" algn="ctr" rotWithShape="0">
              <a:prstClr val="black">
                <a:alpha val="20000"/>
              </a:prstClr>
            </a:outerShdw>
          </a:effectLst>
        </c:spPr>
      </c:pivotFmt>
      <c:pivotFmt>
        <c:idx val="9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9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7"/>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0"/>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4.6038063523604476E-2"/>
              <c:y val="3.974167286782796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0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pivotFmt>
      <c:pivotFmt>
        <c:idx val="103"/>
        <c:spPr>
          <a:solidFill>
            <a:schemeClr val="accent2"/>
          </a:solidFill>
          <a:ln>
            <a:noFill/>
          </a:ln>
          <a:effectLst>
            <a:outerShdw blurRad="63500" sx="102000" sy="102000" algn="ctr" rotWithShape="0">
              <a:prstClr val="black">
                <a:alpha val="20000"/>
              </a:prstClr>
            </a:outerShdw>
          </a:effectLst>
        </c:spPr>
      </c:pivotFmt>
      <c:pivotFmt>
        <c:idx val="104"/>
        <c:spPr>
          <a:solidFill>
            <a:schemeClr val="accent3"/>
          </a:solidFill>
          <a:ln>
            <a:noFill/>
          </a:ln>
          <a:effectLst>
            <a:outerShdw blurRad="63500" sx="102000" sy="102000" algn="ctr" rotWithShape="0">
              <a:prstClr val="black">
                <a:alpha val="20000"/>
              </a:prstClr>
            </a:outerShdw>
          </a:effectLst>
        </c:spPr>
      </c:pivotFmt>
      <c:pivotFmt>
        <c:idx val="105"/>
        <c:spPr>
          <a:solidFill>
            <a:schemeClr val="accent4"/>
          </a:solidFill>
          <a:ln>
            <a:noFill/>
          </a:ln>
          <a:effectLst>
            <a:outerShdw blurRad="63500" sx="102000" sy="102000" algn="ctr" rotWithShape="0">
              <a:prstClr val="black">
                <a:alpha val="20000"/>
              </a:prstClr>
            </a:outerShdw>
          </a:effectLst>
        </c:spPr>
      </c:pivotFmt>
      <c:pivotFmt>
        <c:idx val="106"/>
        <c:spPr>
          <a:solidFill>
            <a:schemeClr val="accent5"/>
          </a:solidFill>
          <a:ln>
            <a:noFill/>
          </a:ln>
          <a:effectLst>
            <a:outerShdw blurRad="63500" sx="102000" sy="102000" algn="ctr" rotWithShape="0">
              <a:prstClr val="black">
                <a:alpha val="20000"/>
              </a:prstClr>
            </a:outerShdw>
          </a:effectLst>
        </c:spPr>
      </c:pivotFmt>
      <c:pivotFmt>
        <c:idx val="10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0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9"/>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6.802590958637407E-2"/>
              <c:y val="-1.8668572598022681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1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pivotFmt>
      <c:pivotFmt>
        <c:idx val="114"/>
        <c:spPr>
          <a:solidFill>
            <a:schemeClr val="accent2"/>
          </a:solidFill>
          <a:ln>
            <a:noFill/>
          </a:ln>
          <a:effectLst>
            <a:outerShdw blurRad="63500" sx="102000" sy="102000" algn="ctr" rotWithShape="0">
              <a:prstClr val="black">
                <a:alpha val="20000"/>
              </a:prstClr>
            </a:outerShdw>
          </a:effectLst>
        </c:spPr>
      </c:pivotFmt>
      <c:pivotFmt>
        <c:idx val="115"/>
        <c:spPr>
          <a:solidFill>
            <a:schemeClr val="accent3"/>
          </a:solidFill>
          <a:ln>
            <a:noFill/>
          </a:ln>
          <a:effectLst>
            <a:outerShdw blurRad="63500" sx="102000" sy="102000" algn="ctr" rotWithShape="0">
              <a:prstClr val="black">
                <a:alpha val="20000"/>
              </a:prstClr>
            </a:outerShdw>
          </a:effectLst>
        </c:spPr>
      </c:pivotFmt>
      <c:pivotFmt>
        <c:idx val="116"/>
        <c:spPr>
          <a:solidFill>
            <a:schemeClr val="accent4"/>
          </a:solidFill>
          <a:ln>
            <a:noFill/>
          </a:ln>
          <a:effectLst>
            <a:outerShdw blurRad="63500" sx="102000" sy="102000" algn="ctr" rotWithShape="0">
              <a:prstClr val="black">
                <a:alpha val="20000"/>
              </a:prstClr>
            </a:outerShdw>
          </a:effectLst>
        </c:spPr>
      </c:pivotFmt>
      <c:pivotFmt>
        <c:idx val="11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18"/>
        <c:spPr>
          <a:solidFill>
            <a:srgbClr val="99BD66"/>
          </a:solidFill>
          <a:ln w="15875" cmpd="tri">
            <a:solidFill>
              <a:schemeClr val="tx1"/>
            </a:solidFill>
          </a:ln>
          <a:effectLst>
            <a:outerShdw blurRad="50800" dist="63500" dir="2700000" algn="tl" rotWithShape="0">
              <a:prstClr val="black">
                <a:alpha val="40000"/>
              </a:prstClr>
            </a:outerShdw>
          </a:effectLst>
        </c:spPr>
        <c:dLbl>
          <c:idx val="0"/>
          <c:layout>
            <c:manualLayout>
              <c:x val="-7.5685895982947164E-3"/>
              <c:y val="-6.1111111111111109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19"/>
        <c:spPr>
          <a:solidFill>
            <a:srgbClr val="FFEB84"/>
          </a:solidFill>
          <a:ln w="15875" cmpd="tri">
            <a:solidFill>
              <a:schemeClr val="tx1"/>
            </a:solidFill>
          </a:ln>
          <a:effectLst>
            <a:outerShdw blurRad="50800" dist="63500" dir="2700000" algn="tl" rotWithShape="0">
              <a:prstClr val="black">
                <a:alpha val="40000"/>
              </a:prstClr>
            </a:outerShdw>
          </a:effectLst>
        </c:spPr>
        <c:dLbl>
          <c:idx val="0"/>
          <c:layout>
            <c:manualLayout>
              <c:x val="3.2705842295622754E-2"/>
              <c:y val="5.63313648293962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20"/>
        <c:spPr>
          <a:solidFill>
            <a:srgbClr val="FDCA7D"/>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21"/>
        <c:spPr>
          <a:solidFill>
            <a:srgbClr val="F98971"/>
          </a:solidFill>
          <a:ln w="15875" cmpd="tri">
            <a:solidFill>
              <a:schemeClr val="tx1"/>
            </a:solidFill>
          </a:ln>
          <a:effectLst>
            <a:outerShdw blurRad="50800" dist="63500" dir="2700000" algn="tl" rotWithShape="0">
              <a:prstClr val="black">
                <a:alpha val="40000"/>
              </a:prstClr>
            </a:outerShdw>
          </a:effectLst>
        </c:spPr>
        <c:dLbl>
          <c:idx val="0"/>
          <c:layout>
            <c:manualLayout>
              <c:x val="-2.5228631994315458E-2"/>
              <c:y val="3.333333333333333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2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23"/>
        <c:spPr>
          <a:solidFill>
            <a:schemeClr val="accent1"/>
          </a:solidFill>
          <a:ln>
            <a:noFill/>
          </a:ln>
          <a:effectLst>
            <a:outerShdw blurRad="63500" sx="102000" sy="102000" algn="ctr" rotWithShape="0">
              <a:prstClr val="black">
                <a:alpha val="20000"/>
              </a:prstClr>
            </a:outerShdw>
          </a:effectLst>
        </c:spPr>
      </c:pivotFmt>
      <c:pivotFmt>
        <c:idx val="124"/>
        <c:spPr>
          <a:solidFill>
            <a:schemeClr val="accent2"/>
          </a:solidFill>
          <a:ln>
            <a:noFill/>
          </a:ln>
          <a:effectLst>
            <a:outerShdw blurRad="63500" sx="102000" sy="102000" algn="ctr" rotWithShape="0">
              <a:prstClr val="black">
                <a:alpha val="20000"/>
              </a:prstClr>
            </a:outerShdw>
          </a:effectLst>
        </c:spPr>
      </c:pivotFmt>
      <c:pivotFmt>
        <c:idx val="125"/>
        <c:spPr>
          <a:solidFill>
            <a:schemeClr val="accent3"/>
          </a:solidFill>
          <a:ln>
            <a:noFill/>
          </a:ln>
          <a:effectLst>
            <a:outerShdw blurRad="63500" sx="102000" sy="102000" algn="ctr" rotWithShape="0">
              <a:prstClr val="black">
                <a:alpha val="20000"/>
              </a:prstClr>
            </a:outerShdw>
          </a:effectLst>
        </c:spPr>
      </c:pivotFmt>
      <c:pivotFmt>
        <c:idx val="126"/>
        <c:spPr>
          <a:solidFill>
            <a:schemeClr val="accent4"/>
          </a:solidFill>
          <a:ln>
            <a:noFill/>
          </a:ln>
          <a:effectLst>
            <a:outerShdw blurRad="63500" sx="102000" sy="102000" algn="ctr" rotWithShape="0">
              <a:prstClr val="black">
                <a:alpha val="20000"/>
              </a:prstClr>
            </a:outerShdw>
          </a:effectLst>
        </c:spPr>
      </c:pivotFmt>
      <c:pivotFmt>
        <c:idx val="12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28"/>
        <c:spPr>
          <a:solidFill>
            <a:srgbClr val="99BD66"/>
          </a:solidFill>
          <a:ln w="15875" cmpd="tri">
            <a:solidFill>
              <a:schemeClr val="tx1"/>
            </a:solidFill>
          </a:ln>
          <a:effectLst>
            <a:outerShdw blurRad="50800" dist="63500" dir="2700000" algn="tl" rotWithShape="0">
              <a:prstClr val="black">
                <a:alpha val="40000"/>
              </a:prstClr>
            </a:outerShdw>
          </a:effectLst>
        </c:spPr>
        <c:dLbl>
          <c:idx val="0"/>
          <c:layout>
            <c:manualLayout>
              <c:x val="-7.5685895982947164E-3"/>
              <c:y val="-6.1111111111111109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29"/>
        <c:spPr>
          <a:solidFill>
            <a:srgbClr val="FFEB84"/>
          </a:solidFill>
          <a:ln w="15875" cmpd="tri">
            <a:solidFill>
              <a:schemeClr val="tx1"/>
            </a:solidFill>
          </a:ln>
          <a:effectLst>
            <a:outerShdw blurRad="50800" dist="63500" dir="2700000" algn="tl" rotWithShape="0">
              <a:prstClr val="black">
                <a:alpha val="40000"/>
              </a:prstClr>
            </a:outerShdw>
          </a:effectLst>
        </c:spPr>
        <c:dLbl>
          <c:idx val="0"/>
          <c:layout>
            <c:manualLayout>
              <c:x val="3.2705842295622754E-2"/>
              <c:y val="5.63313648293962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30"/>
        <c:spPr>
          <a:solidFill>
            <a:srgbClr val="FDCA7D"/>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31"/>
        <c:spPr>
          <a:solidFill>
            <a:srgbClr val="F98971"/>
          </a:solidFill>
          <a:ln w="15875" cmpd="tri">
            <a:solidFill>
              <a:schemeClr val="tx1"/>
            </a:solidFill>
          </a:ln>
          <a:effectLst>
            <a:outerShdw blurRad="50800" dist="63500" dir="2700000" algn="tl" rotWithShape="0">
              <a:prstClr val="black">
                <a:alpha val="40000"/>
              </a:prstClr>
            </a:outerShdw>
          </a:effectLst>
        </c:spPr>
        <c:dLbl>
          <c:idx val="0"/>
          <c:layout>
            <c:manualLayout>
              <c:x val="-2.5228631994315458E-2"/>
              <c:y val="3.333333333333333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3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33"/>
        <c:spPr>
          <a:solidFill>
            <a:schemeClr val="accent1"/>
          </a:solidFill>
          <a:ln>
            <a:noFill/>
          </a:ln>
          <a:effectLst>
            <a:outerShdw blurRad="63500" sx="102000" sy="102000" algn="ctr" rotWithShape="0">
              <a:prstClr val="black">
                <a:alpha val="20000"/>
              </a:prstClr>
            </a:outerShdw>
          </a:effectLst>
        </c:spPr>
      </c:pivotFmt>
      <c:pivotFmt>
        <c:idx val="134"/>
        <c:spPr>
          <a:solidFill>
            <a:schemeClr val="accent2"/>
          </a:solidFill>
          <a:ln>
            <a:noFill/>
          </a:ln>
          <a:effectLst>
            <a:outerShdw blurRad="63500" sx="102000" sy="102000" algn="ctr" rotWithShape="0">
              <a:prstClr val="black">
                <a:alpha val="20000"/>
              </a:prstClr>
            </a:outerShdw>
          </a:effectLst>
        </c:spPr>
      </c:pivotFmt>
      <c:pivotFmt>
        <c:idx val="135"/>
        <c:spPr>
          <a:solidFill>
            <a:schemeClr val="accent3"/>
          </a:solidFill>
          <a:ln>
            <a:noFill/>
          </a:ln>
          <a:effectLst>
            <a:outerShdw blurRad="63500" sx="102000" sy="102000" algn="ctr" rotWithShape="0">
              <a:prstClr val="black">
                <a:alpha val="20000"/>
              </a:prstClr>
            </a:outerShdw>
          </a:effectLst>
        </c:spPr>
      </c:pivotFmt>
      <c:pivotFmt>
        <c:idx val="136"/>
        <c:spPr>
          <a:solidFill>
            <a:schemeClr val="accent4"/>
          </a:solidFill>
          <a:ln>
            <a:noFill/>
          </a:ln>
          <a:effectLst>
            <a:outerShdw blurRad="63500" sx="102000" sy="102000" algn="ctr" rotWithShape="0">
              <a:prstClr val="black">
                <a:alpha val="20000"/>
              </a:prstClr>
            </a:outerShdw>
          </a:effectLst>
        </c:spPr>
      </c:pivotFmt>
      <c:pivotFmt>
        <c:idx val="13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8"/>
        <c:spPr>
          <a:solidFill>
            <a:srgbClr val="99BD66"/>
          </a:solidFill>
          <a:ln w="15875" cmpd="tri">
            <a:solidFill>
              <a:schemeClr val="tx1"/>
            </a:solidFill>
          </a:ln>
          <a:effectLst>
            <a:outerShdw blurRad="50800" dist="63500" dir="2700000" algn="tl" rotWithShape="0">
              <a:prstClr val="black">
                <a:alpha val="40000"/>
              </a:prstClr>
            </a:outerShdw>
          </a:effectLst>
        </c:spPr>
        <c:dLbl>
          <c:idx val="0"/>
          <c:layout>
            <c:manualLayout>
              <c:x val="-7.5685895982947164E-3"/>
              <c:y val="-6.1111111111111109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39"/>
        <c:spPr>
          <a:solidFill>
            <a:srgbClr val="FFEB84"/>
          </a:solidFill>
          <a:ln w="15875" cmpd="tri">
            <a:solidFill>
              <a:schemeClr val="tx1"/>
            </a:solidFill>
          </a:ln>
          <a:effectLst>
            <a:outerShdw blurRad="50800" dist="63500" dir="2700000" algn="tl" rotWithShape="0">
              <a:prstClr val="black">
                <a:alpha val="40000"/>
              </a:prstClr>
            </a:outerShdw>
          </a:effectLst>
        </c:spPr>
        <c:dLbl>
          <c:idx val="0"/>
          <c:layout>
            <c:manualLayout>
              <c:x val="3.2705842295622754E-2"/>
              <c:y val="5.63313648293962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40"/>
        <c:spPr>
          <a:solidFill>
            <a:srgbClr val="FDCA7D"/>
          </a:solidFill>
          <a:ln w="15875" cmpd="tri">
            <a:solidFill>
              <a:schemeClr val="tx1"/>
            </a:solidFill>
          </a:ln>
          <a:effectLst>
            <a:outerShdw blurRad="50800" dist="63500" dir="2700000" algn="tl" rotWithShape="0">
              <a:prstClr val="black">
                <a:alpha val="40000"/>
              </a:prstClr>
            </a:outerShdw>
          </a:effectLst>
        </c:spPr>
        <c:dLbl>
          <c:idx val="0"/>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41"/>
        <c:spPr>
          <a:solidFill>
            <a:srgbClr val="F98971"/>
          </a:solidFill>
          <a:ln w="15875" cmpd="tri">
            <a:solidFill>
              <a:schemeClr val="tx1"/>
            </a:solidFill>
          </a:ln>
          <a:effectLst>
            <a:outerShdw blurRad="50800" dist="63500" dir="2700000" algn="tl" rotWithShape="0">
              <a:prstClr val="black">
                <a:alpha val="40000"/>
              </a:prstClr>
            </a:outerShdw>
          </a:effectLst>
        </c:spPr>
        <c:dLbl>
          <c:idx val="0"/>
          <c:layout>
            <c:manualLayout>
              <c:x val="-2.5228631994315458E-2"/>
              <c:y val="3.333333333333333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4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43"/>
        <c:spPr>
          <a:solidFill>
            <a:schemeClr val="accent1"/>
          </a:solidFill>
          <a:ln>
            <a:noFill/>
          </a:ln>
          <a:effectLst>
            <a:outerShdw blurRad="63500" sx="102000" sy="102000" algn="ctr" rotWithShape="0">
              <a:prstClr val="black">
                <a:alpha val="20000"/>
              </a:prstClr>
            </a:outerShdw>
          </a:effectLst>
        </c:spPr>
      </c:pivotFmt>
      <c:pivotFmt>
        <c:idx val="144"/>
        <c:spPr>
          <a:solidFill>
            <a:schemeClr val="accent2"/>
          </a:solidFill>
          <a:ln>
            <a:noFill/>
          </a:ln>
          <a:effectLst>
            <a:outerShdw blurRad="63500" sx="102000" sy="102000" algn="ctr" rotWithShape="0">
              <a:prstClr val="black">
                <a:alpha val="20000"/>
              </a:prstClr>
            </a:outerShdw>
          </a:effectLst>
        </c:spPr>
      </c:pivotFmt>
      <c:pivotFmt>
        <c:idx val="145"/>
        <c:spPr>
          <a:solidFill>
            <a:schemeClr val="accent3"/>
          </a:solidFill>
          <a:ln>
            <a:noFill/>
          </a:ln>
          <a:effectLst>
            <a:outerShdw blurRad="63500" sx="102000" sy="102000" algn="ctr" rotWithShape="0">
              <a:prstClr val="black">
                <a:alpha val="20000"/>
              </a:prstClr>
            </a:outerShdw>
          </a:effectLst>
        </c:spPr>
      </c:pivotFmt>
      <c:pivotFmt>
        <c:idx val="146"/>
        <c:spPr>
          <a:solidFill>
            <a:schemeClr val="accent4"/>
          </a:solidFill>
          <a:ln>
            <a:noFill/>
          </a:ln>
          <a:effectLst>
            <a:outerShdw blurRad="63500" sx="102000" sy="102000" algn="ctr" rotWithShape="0">
              <a:prstClr val="black">
                <a:alpha val="20000"/>
              </a:prstClr>
            </a:outerShdw>
          </a:effectLst>
        </c:spPr>
      </c:pivotFmt>
    </c:pivotFmts>
    <c:plotArea>
      <c:layout/>
      <c:pieChart>
        <c:varyColors val="1"/>
        <c:ser>
          <c:idx val="0"/>
          <c:order val="0"/>
          <c:tx>
            <c:strRef>
              <c:f>'Statistics 2018'!$C$13</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E8EC-4424-A1B7-5BBD933ABDD0}"/>
              </c:ext>
            </c:extLst>
          </c:dPt>
          <c:dPt>
            <c:idx val="1"/>
            <c:bubble3D val="0"/>
            <c:explosion val="2"/>
            <c:spPr>
              <a:solidFill>
                <a:srgbClr val="FFEB8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E8EC-4424-A1B7-5BBD933ABDD0}"/>
              </c:ext>
            </c:extLst>
          </c:dPt>
          <c:dPt>
            <c:idx val="2"/>
            <c:bubble3D val="0"/>
            <c:spPr>
              <a:solidFill>
                <a:srgbClr val="FDCA7D"/>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E8EC-4424-A1B7-5BBD933ABDD0}"/>
              </c:ext>
            </c:extLst>
          </c:dPt>
          <c:dPt>
            <c:idx val="3"/>
            <c:bubble3D val="0"/>
            <c:spPr>
              <a:solidFill>
                <a:srgbClr val="F9897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E8EC-4424-A1B7-5BBD933ABDD0}"/>
              </c:ext>
            </c:extLst>
          </c:dPt>
          <c:dPt>
            <c:idx val="4"/>
            <c:bubble3D val="0"/>
            <c:extLst>
              <c:ext xmlns:c16="http://schemas.microsoft.com/office/drawing/2014/chart" uri="{C3380CC4-5D6E-409C-BE32-E72D297353CC}">
                <c16:uniqueId val="{00000008-E8EC-4424-A1B7-5BBD933ABDD0}"/>
              </c:ext>
            </c:extLst>
          </c:dPt>
          <c:dLbls>
            <c:dLbl>
              <c:idx val="0"/>
              <c:layout>
                <c:manualLayout>
                  <c:x val="-7.5685895982947164E-3"/>
                  <c:y val="-6.1111111111111109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8EC-4424-A1B7-5BBD933ABDD0}"/>
                </c:ext>
              </c:extLst>
            </c:dLbl>
            <c:dLbl>
              <c:idx val="1"/>
              <c:layout>
                <c:manualLayout>
                  <c:x val="3.2705842295622754E-2"/>
                  <c:y val="5.63313648293962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8EC-4424-A1B7-5BBD933ABDD0}"/>
                </c:ext>
              </c:extLst>
            </c:dLbl>
            <c:dLbl>
              <c:idx val="2"/>
              <c:layout>
                <c:manualLayout>
                  <c:x val="-2.6690365161873567E-2"/>
                  <c:y val="-1.5713294184134894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8EC-4424-A1B7-5BBD933ABDD0}"/>
                </c:ext>
              </c:extLst>
            </c:dLbl>
            <c:dLbl>
              <c:idx val="3"/>
              <c:layout>
                <c:manualLayout>
                  <c:x val="-2.5228631994315458E-2"/>
                  <c:y val="3.333333333333333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8EC-4424-A1B7-5BBD933ABDD0}"/>
                </c:ext>
              </c:extLst>
            </c:dLbl>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'Statistics 2018'!$B$14:$B$18</c:f>
              <c:strCache>
                <c:ptCount val="4"/>
                <c:pt idx="0">
                  <c:v>A</c:v>
                </c:pt>
                <c:pt idx="1">
                  <c:v>C</c:v>
                </c:pt>
                <c:pt idx="2">
                  <c:v>D</c:v>
                </c:pt>
                <c:pt idx="3">
                  <c:v>E</c:v>
                </c:pt>
              </c:strCache>
            </c:strRef>
          </c:cat>
          <c:val>
            <c:numRef>
              <c:f>'Statistics 2018'!$C$14:$C$18</c:f>
              <c:numCache>
                <c:formatCode>#,##0_ ;[Red]\-#,##0\ </c:formatCode>
                <c:ptCount val="4"/>
                <c:pt idx="0">
                  <c:v>167</c:v>
                </c:pt>
                <c:pt idx="1">
                  <c:v>118</c:v>
                </c:pt>
                <c:pt idx="2">
                  <c:v>34</c:v>
                </c:pt>
                <c:pt idx="3">
                  <c:v>27</c:v>
                </c:pt>
              </c:numCache>
            </c:numRef>
          </c:val>
          <c:extLst>
            <c:ext xmlns:c16="http://schemas.microsoft.com/office/drawing/2014/chart" uri="{C3380CC4-5D6E-409C-BE32-E72D297353CC}">
              <c16:uniqueId val="{00000009-E8EC-4424-A1B7-5BBD933ABDD0}"/>
            </c:ext>
          </c:extLst>
        </c:ser>
        <c:ser>
          <c:idx val="1"/>
          <c:order val="1"/>
          <c:tx>
            <c:strRef>
              <c:f>'Statistics 2018'!$D$13</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8EC-4424-A1B7-5BBD933ABD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8EC-4424-A1B7-5BBD933ABD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8EC-4424-A1B7-5BBD933ABD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8EC-4424-A1B7-5BBD933ABDD0}"/>
              </c:ext>
            </c:extLst>
          </c:dPt>
          <c:dPt>
            <c:idx val="4"/>
            <c:bubble3D val="0"/>
            <c:extLst>
              <c:ext xmlns:c16="http://schemas.microsoft.com/office/drawing/2014/chart" uri="{C3380CC4-5D6E-409C-BE32-E72D297353CC}">
                <c16:uniqueId val="{00000012-E8EC-4424-A1B7-5BBD933ABDD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2018'!$B$14:$B$18</c:f>
              <c:strCache>
                <c:ptCount val="4"/>
                <c:pt idx="0">
                  <c:v>A</c:v>
                </c:pt>
                <c:pt idx="1">
                  <c:v>C</c:v>
                </c:pt>
                <c:pt idx="2">
                  <c:v>D</c:v>
                </c:pt>
                <c:pt idx="3">
                  <c:v>E</c:v>
                </c:pt>
              </c:strCache>
            </c:strRef>
          </c:cat>
          <c:val>
            <c:numRef>
              <c:f>'Statistics 2018'!$D$14:$D$18</c:f>
              <c:numCache>
                <c:formatCode>0%</c:formatCode>
                <c:ptCount val="4"/>
                <c:pt idx="0">
                  <c:v>0.48265895953757226</c:v>
                </c:pt>
                <c:pt idx="1">
                  <c:v>0.34104046242774566</c:v>
                </c:pt>
                <c:pt idx="2">
                  <c:v>9.8265895953757232E-2</c:v>
                </c:pt>
                <c:pt idx="3">
                  <c:v>7.8034682080924858E-2</c:v>
                </c:pt>
              </c:numCache>
            </c:numRef>
          </c:val>
          <c:extLst>
            <c:ext xmlns:c16="http://schemas.microsoft.com/office/drawing/2014/chart" uri="{C3380CC4-5D6E-409C-BE32-E72D297353CC}">
              <c16:uniqueId val="{00000013-E8EC-4424-A1B7-5BBD933ABDD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2018!GradeEng2018</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cap="none" baseline="0"/>
              <a:t>England S167 Grades May 2018</a:t>
            </a:r>
          </a:p>
        </c:rich>
      </c:tx>
      <c:layout>
        <c:manualLayout>
          <c:xMode val="edge"/>
          <c:yMode val="edge"/>
          <c:x val="0.12957861036601195"/>
          <c:y val="1.0752688172043012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0"/>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6.7900450176106624E-17"/>
              <c:y val="1.21212121212121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0"/>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6.7900450176106624E-17"/>
              <c:y val="1.21212121212121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0"/>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6.7900450176106624E-17"/>
              <c:y val="1.21212121212121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2018'!$C$33</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DDBE-49EB-9D0A-4AE949A133E2}"/>
              </c:ext>
            </c:extLst>
          </c:dPt>
          <c:dPt>
            <c:idx val="1"/>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DDBE-49EB-9D0A-4AE949A133E2}"/>
              </c:ext>
            </c:extLst>
          </c:dPt>
          <c:dPt>
            <c:idx val="2"/>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DDBE-49EB-9D0A-4AE949A133E2}"/>
              </c:ext>
            </c:extLst>
          </c:dPt>
          <c:dPt>
            <c:idx val="3"/>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DDBE-49EB-9D0A-4AE949A133E2}"/>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DDBE-49EB-9D0A-4AE949A133E2}"/>
              </c:ext>
            </c:extLst>
          </c:dPt>
          <c:dLbls>
            <c:dLbl>
              <c:idx val="0"/>
              <c:layout>
                <c:manualLayout>
                  <c:x val="-2.094240837696348E-2"/>
                  <c:y val="-0.2150537634408602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BE-49EB-9D0A-4AE949A133E2}"/>
                </c:ext>
              </c:extLst>
            </c:dLbl>
            <c:dLbl>
              <c:idx val="1"/>
              <c:layout>
                <c:manualLayout>
                  <c:x val="5.0420568309147464E-2"/>
                  <c:y val="1.075706152487862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16440480806514"/>
                      <c:h val="0.25248722774939497"/>
                    </c:manualLayout>
                  </c15:layout>
                </c:ext>
                <c:ext xmlns:c16="http://schemas.microsoft.com/office/drawing/2014/chart" uri="{C3380CC4-5D6E-409C-BE32-E72D297353CC}">
                  <c16:uniqueId val="{00000003-DDBE-49EB-9D0A-4AE949A133E2}"/>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DBE-49EB-9D0A-4AE949A133E2}"/>
                </c:ext>
              </c:extLst>
            </c:dLbl>
            <c:dLbl>
              <c:idx val="3"/>
              <c:layout>
                <c:manualLayout>
                  <c:x val="-6.7900450176106624E-17"/>
                  <c:y val="1.21212121212121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BE-49EB-9D0A-4AE949A133E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2018'!$B$34:$B$38</c:f>
              <c:strCache>
                <c:ptCount val="4"/>
                <c:pt idx="0">
                  <c:v>A</c:v>
                </c:pt>
                <c:pt idx="1">
                  <c:v>C</c:v>
                </c:pt>
                <c:pt idx="2">
                  <c:v>D</c:v>
                </c:pt>
                <c:pt idx="3">
                  <c:v>E</c:v>
                </c:pt>
              </c:strCache>
            </c:strRef>
          </c:cat>
          <c:val>
            <c:numRef>
              <c:f>'Statistics 2018'!$C$34:$C$38</c:f>
              <c:numCache>
                <c:formatCode>0</c:formatCode>
                <c:ptCount val="4"/>
                <c:pt idx="0">
                  <c:v>139</c:v>
                </c:pt>
                <c:pt idx="1">
                  <c:v>103</c:v>
                </c:pt>
                <c:pt idx="2">
                  <c:v>27</c:v>
                </c:pt>
                <c:pt idx="3">
                  <c:v>23</c:v>
                </c:pt>
              </c:numCache>
            </c:numRef>
          </c:val>
          <c:extLst>
            <c:ext xmlns:c16="http://schemas.microsoft.com/office/drawing/2014/chart" uri="{C3380CC4-5D6E-409C-BE32-E72D297353CC}">
              <c16:uniqueId val="{0000000A-DDBE-49EB-9D0A-4AE949A133E2}"/>
            </c:ext>
          </c:extLst>
        </c:ser>
        <c:ser>
          <c:idx val="1"/>
          <c:order val="1"/>
          <c:tx>
            <c:strRef>
              <c:f>'Statistics 2018'!$D$33</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DDBE-49EB-9D0A-4AE949A133E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DDBE-49EB-9D0A-4AE949A133E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DDBE-49EB-9D0A-4AE949A133E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DDBE-49EB-9D0A-4AE949A133E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DDBE-49EB-9D0A-4AE949A133E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DDBE-49EB-9D0A-4AE949A133E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DDBE-49EB-9D0A-4AE949A133E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DDBE-49EB-9D0A-4AE949A133E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DDBE-49EB-9D0A-4AE949A133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2018'!$B$34:$B$38</c:f>
              <c:strCache>
                <c:ptCount val="4"/>
                <c:pt idx="0">
                  <c:v>A</c:v>
                </c:pt>
                <c:pt idx="1">
                  <c:v>C</c:v>
                </c:pt>
                <c:pt idx="2">
                  <c:v>D</c:v>
                </c:pt>
                <c:pt idx="3">
                  <c:v>E</c:v>
                </c:pt>
              </c:strCache>
            </c:strRef>
          </c:cat>
          <c:val>
            <c:numRef>
              <c:f>'Statistics 2018'!$D$34:$D$38</c:f>
              <c:numCache>
                <c:formatCode>0%</c:formatCode>
                <c:ptCount val="4"/>
                <c:pt idx="0">
                  <c:v>0.47602739726027399</c:v>
                </c:pt>
                <c:pt idx="1">
                  <c:v>0.35273972602739728</c:v>
                </c:pt>
                <c:pt idx="2">
                  <c:v>9.2465753424657529E-2</c:v>
                </c:pt>
                <c:pt idx="3">
                  <c:v>7.8767123287671229E-2</c:v>
                </c:pt>
              </c:numCache>
            </c:numRef>
          </c:val>
          <c:extLst>
            <c:ext xmlns:c16="http://schemas.microsoft.com/office/drawing/2014/chart" uri="{C3380CC4-5D6E-409C-BE32-E72D297353CC}">
              <c16:uniqueId val="{00000015-DDBE-49EB-9D0A-4AE949A133E2}"/>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[working licensing authorities’ approach to the equality act 2010 provisions on taxi wheelchair discrimination.xlsx]Statistics 2018!GradeScot2018</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cap="none" baseline="0"/>
              <a:t>Scotland S167 Grades May 2018</a:t>
            </a:r>
          </a:p>
        </c:rich>
      </c:tx>
      <c:layout>
        <c:manualLayout>
          <c:xMode val="edge"/>
          <c:yMode val="edge"/>
          <c:x val="0.16837795275590547"/>
          <c:y val="2.4169328231561416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2051282051282051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35771456914813E-17"/>
              <c:y val="3.6253776435045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2051282051282051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35771456914813E-17"/>
              <c:y val="3.6253776435045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4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2051282051282051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52"/>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35771456914813E-17"/>
              <c:y val="3.625377643504532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2018'!$C$51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F88F-4728-BEC1-D8DCDA39AF65}"/>
              </c:ext>
            </c:extLst>
          </c:dPt>
          <c:dPt>
            <c:idx val="1"/>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F88F-4728-BEC1-D8DCDA39AF65}"/>
              </c:ext>
            </c:extLst>
          </c:dPt>
          <c:dPt>
            <c:idx val="2"/>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F88F-4728-BEC1-D8DCDA39AF65}"/>
              </c:ext>
            </c:extLst>
          </c:dPt>
          <c:dPt>
            <c:idx val="3"/>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F88F-4728-BEC1-D8DCDA39AF65}"/>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F88F-4728-BEC1-D8DCDA39AF65}"/>
              </c:ext>
            </c:extLst>
          </c:dPt>
          <c:dLbls>
            <c:dLbl>
              <c:idx val="0"/>
              <c:layout>
                <c:manualLayout>
                  <c:x val="-7.9804172404002033E-2"/>
                  <c:y val="-0.1124439376823079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451417109115718"/>
                      <c:h val="0.20851177730192716"/>
                    </c:manualLayout>
                  </c15:layout>
                </c:ext>
                <c:ext xmlns:c16="http://schemas.microsoft.com/office/drawing/2014/chart" uri="{C3380CC4-5D6E-409C-BE32-E72D297353CC}">
                  <c16:uniqueId val="{00000001-F88F-4728-BEC1-D8DCDA39AF65}"/>
                </c:ext>
              </c:extLst>
            </c:dLbl>
            <c:dLbl>
              <c:idx val="1"/>
              <c:layout>
                <c:manualLayout>
                  <c:x val="0.32973715625601085"/>
                  <c:y val="-3.748313915257390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19509789853236"/>
                      <c:h val="0.25133832976445392"/>
                    </c:manualLayout>
                  </c15:layout>
                </c:ext>
                <c:ext xmlns:c16="http://schemas.microsoft.com/office/drawing/2014/chart" uri="{C3380CC4-5D6E-409C-BE32-E72D297353CC}">
                  <c16:uniqueId val="{00000003-F88F-4728-BEC1-D8DCDA39AF65}"/>
                </c:ext>
              </c:extLst>
            </c:dLbl>
            <c:dLbl>
              <c:idx val="2"/>
              <c:layout>
                <c:manualLayout>
                  <c:x val="0"/>
                  <c:y val="0.13922781533999898"/>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837921675067856"/>
                      <c:h val="0.25133832976445392"/>
                    </c:manualLayout>
                  </c15:layout>
                </c:ext>
                <c:ext xmlns:c16="http://schemas.microsoft.com/office/drawing/2014/chart" uri="{C3380CC4-5D6E-409C-BE32-E72D297353CC}">
                  <c16:uniqueId val="{00000005-F88F-4728-BEC1-D8DCDA39AF65}"/>
                </c:ext>
              </c:extLst>
            </c:dLbl>
            <c:dLbl>
              <c:idx val="3"/>
              <c:layout>
                <c:manualLayout>
                  <c:x val="4.6529662659945743E-2"/>
                  <c:y val="1.4840500203781942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388910430399379"/>
                      <c:h val="0.20851177730192721"/>
                    </c:manualLayout>
                  </c15:layout>
                </c:ext>
                <c:ext xmlns:c16="http://schemas.microsoft.com/office/drawing/2014/chart" uri="{C3380CC4-5D6E-409C-BE32-E72D297353CC}">
                  <c16:uniqueId val="{00000007-F88F-4728-BEC1-D8DCDA39AF6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2018'!$B$52:$B$56</c:f>
              <c:strCache>
                <c:ptCount val="4"/>
                <c:pt idx="0">
                  <c:v>A</c:v>
                </c:pt>
                <c:pt idx="1">
                  <c:v>C</c:v>
                </c:pt>
                <c:pt idx="2">
                  <c:v>D</c:v>
                </c:pt>
                <c:pt idx="3">
                  <c:v>E</c:v>
                </c:pt>
              </c:strCache>
            </c:strRef>
          </c:cat>
          <c:val>
            <c:numRef>
              <c:f>'Statistics 2018'!$C$52:$C$56</c:f>
              <c:numCache>
                <c:formatCode>0</c:formatCode>
                <c:ptCount val="4"/>
                <c:pt idx="0">
                  <c:v>11</c:v>
                </c:pt>
                <c:pt idx="1">
                  <c:v>10</c:v>
                </c:pt>
                <c:pt idx="2">
                  <c:v>7</c:v>
                </c:pt>
                <c:pt idx="3">
                  <c:v>4</c:v>
                </c:pt>
              </c:numCache>
            </c:numRef>
          </c:val>
          <c:extLst>
            <c:ext xmlns:c16="http://schemas.microsoft.com/office/drawing/2014/chart" uri="{C3380CC4-5D6E-409C-BE32-E72D297353CC}">
              <c16:uniqueId val="{0000000A-F88F-4728-BEC1-D8DCDA39AF65}"/>
            </c:ext>
          </c:extLst>
        </c:ser>
        <c:ser>
          <c:idx val="1"/>
          <c:order val="1"/>
          <c:tx>
            <c:strRef>
              <c:f>'Statistics 2018'!$D$51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F88F-4728-BEC1-D8DCDA39AF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F88F-4728-BEC1-D8DCDA39AF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F88F-4728-BEC1-D8DCDA39AF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F88F-4728-BEC1-D8DCDA39AF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F88F-4728-BEC1-D8DCDA39AF6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F88F-4728-BEC1-D8DCDA39AF6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F88F-4728-BEC1-D8DCDA39AF6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F88F-4728-BEC1-D8DCDA39AF6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F88F-4728-BEC1-D8DCDA39AF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2018'!$B$52:$B$56</c:f>
              <c:strCache>
                <c:ptCount val="4"/>
                <c:pt idx="0">
                  <c:v>A</c:v>
                </c:pt>
                <c:pt idx="1">
                  <c:v>C</c:v>
                </c:pt>
                <c:pt idx="2">
                  <c:v>D</c:v>
                </c:pt>
                <c:pt idx="3">
                  <c:v>E</c:v>
                </c:pt>
              </c:strCache>
            </c:strRef>
          </c:cat>
          <c:val>
            <c:numRef>
              <c:f>'Statistics 2018'!$D$52:$D$56</c:f>
              <c:numCache>
                <c:formatCode>0%</c:formatCode>
                <c:ptCount val="4"/>
                <c:pt idx="0">
                  <c:v>0.34375</c:v>
                </c:pt>
                <c:pt idx="1">
                  <c:v>0.3125</c:v>
                </c:pt>
                <c:pt idx="2">
                  <c:v>0.21875</c:v>
                </c:pt>
                <c:pt idx="3">
                  <c:v>0.125</c:v>
                </c:pt>
              </c:numCache>
            </c:numRef>
          </c:val>
          <c:extLst>
            <c:ext xmlns:c16="http://schemas.microsoft.com/office/drawing/2014/chart" uri="{C3380CC4-5D6E-409C-BE32-E72D297353CC}">
              <c16:uniqueId val="{00000015-F88F-4728-BEC1-D8DCDA39AF65}"/>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4159F1-AF2A-4A58-B5FB-EDB2927E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7144</Words>
  <Characters>40721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Licensing authorities’ approach to the Equality Act 2010 provisions on taxi wheelchair discrimination</vt:lpstr>
    </vt:vector>
  </TitlesOfParts>
  <Manager/>
  <Company/>
  <LinksUpToDate>false</LinksUpToDate>
  <CharactersWithSpaces>47770</CharactersWithSpaces>
  <SharedDoc>false</SharedDoc>
  <HyperlinkBase>https://www.kingqueen.org.uk/s167</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authorities’ approach to the Equality Act 2010 provisions on taxi wheelchair discrimination</dc:title>
  <dc:subject>Licensing authorities’ approach to the Equality Act 2010 provisions on taxi wheelchair discrimination</dc:subject>
  <dc:creator/>
  <cp:keywords>Equality Act 2010, taxi, wheelchair, discrimination</cp:keywords>
  <dc:description/>
  <cp:lastModifiedBy/>
  <cp:revision>1</cp:revision>
  <dcterms:created xsi:type="dcterms:W3CDTF">2018-09-22T19:22:00Z</dcterms:created>
  <dcterms:modified xsi:type="dcterms:W3CDTF">2018-09-22T20:23:00Z</dcterms:modified>
  <cp:category>Discrimination, Taxi, Wheelchair</cp:category>
  <cp:contentStatus/>
</cp:coreProperties>
</file>